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6278" w14:textId="77777777" w:rsidR="000E62A9" w:rsidRDefault="000E62A9">
      <w:pPr>
        <w:rPr>
          <w:rFonts w:ascii="Century" w:hAnsi="Century"/>
        </w:rPr>
      </w:pPr>
    </w:p>
    <w:p w14:paraId="512D06B9" w14:textId="4E587763" w:rsidR="002D7B53" w:rsidRPr="00C30C72" w:rsidRDefault="00D30DD0">
      <w:pPr>
        <w:rPr>
          <w:rFonts w:ascii="Century" w:hAnsi="Century"/>
          <w:b/>
          <w:bCs/>
          <w:sz w:val="44"/>
          <w:szCs w:val="44"/>
        </w:rPr>
      </w:pPr>
      <w:r>
        <w:rPr>
          <w:rFonts w:ascii="Century" w:hAnsi="Century"/>
          <w:b/>
          <w:bCs/>
          <w:sz w:val="44"/>
          <w:szCs w:val="44"/>
        </w:rPr>
        <w:t>U</w:t>
      </w:r>
      <w:r w:rsidR="004E7135" w:rsidRPr="00C30C72">
        <w:rPr>
          <w:rFonts w:ascii="Century" w:hAnsi="Century"/>
          <w:b/>
          <w:bCs/>
          <w:sz w:val="44"/>
          <w:szCs w:val="44"/>
        </w:rPr>
        <w:t>NDERSTANDING</w:t>
      </w:r>
      <w:r w:rsidR="003B09AD" w:rsidRPr="00C30C72">
        <w:rPr>
          <w:rFonts w:ascii="Century" w:hAnsi="Century"/>
          <w:b/>
          <w:bCs/>
          <w:sz w:val="44"/>
          <w:szCs w:val="44"/>
        </w:rPr>
        <w:t xml:space="preserve"> </w:t>
      </w:r>
      <w:r w:rsidR="004E7135" w:rsidRPr="00C30C72">
        <w:rPr>
          <w:rFonts w:ascii="Century" w:hAnsi="Century"/>
          <w:b/>
          <w:bCs/>
          <w:sz w:val="44"/>
          <w:szCs w:val="44"/>
        </w:rPr>
        <w:t>HEIRS</w:t>
      </w:r>
      <w:r w:rsidR="003B09AD" w:rsidRPr="00C30C72">
        <w:rPr>
          <w:rFonts w:ascii="Century" w:hAnsi="Century"/>
          <w:b/>
          <w:bCs/>
          <w:sz w:val="44"/>
          <w:szCs w:val="44"/>
        </w:rPr>
        <w:t>’</w:t>
      </w:r>
      <w:r w:rsidR="004E7135" w:rsidRPr="00C30C72">
        <w:rPr>
          <w:rFonts w:ascii="Century" w:hAnsi="Century"/>
          <w:b/>
          <w:bCs/>
          <w:sz w:val="44"/>
          <w:szCs w:val="44"/>
        </w:rPr>
        <w:t xml:space="preserve"> PROPER</w:t>
      </w:r>
      <w:r w:rsidR="003B09AD" w:rsidRPr="00C30C72">
        <w:rPr>
          <w:rFonts w:ascii="Century" w:hAnsi="Century"/>
          <w:b/>
          <w:bCs/>
          <w:sz w:val="44"/>
          <w:szCs w:val="44"/>
        </w:rPr>
        <w:t>T</w:t>
      </w:r>
      <w:r w:rsidR="004E7135" w:rsidRPr="00C30C72">
        <w:rPr>
          <w:rFonts w:ascii="Century" w:hAnsi="Century"/>
          <w:b/>
          <w:bCs/>
          <w:sz w:val="44"/>
          <w:szCs w:val="44"/>
        </w:rPr>
        <w:t xml:space="preserve">Y </w:t>
      </w:r>
      <w:r w:rsidR="003B09AD" w:rsidRPr="00C30C72">
        <w:rPr>
          <w:rFonts w:ascii="Century" w:hAnsi="Century"/>
          <w:b/>
          <w:bCs/>
          <w:sz w:val="44"/>
          <w:szCs w:val="44"/>
        </w:rPr>
        <w:t xml:space="preserve">AND </w:t>
      </w:r>
      <w:r w:rsidR="004E7135" w:rsidRPr="00C30C72">
        <w:rPr>
          <w:rFonts w:ascii="Century" w:hAnsi="Century"/>
          <w:b/>
          <w:bCs/>
          <w:sz w:val="44"/>
          <w:szCs w:val="44"/>
        </w:rPr>
        <w:t>ITS IMPACT ON THE ACCUMULATION OF BLACK WEALTH IN AMERICA</w:t>
      </w:r>
    </w:p>
    <w:p w14:paraId="061B3351" w14:textId="77777777" w:rsidR="001674C3" w:rsidRDefault="001674C3">
      <w:pPr>
        <w:rPr>
          <w:rFonts w:ascii="Century" w:hAnsi="Century"/>
        </w:rPr>
      </w:pPr>
    </w:p>
    <w:p w14:paraId="12D557BE" w14:textId="77777777" w:rsidR="001674C3" w:rsidRDefault="001674C3">
      <w:pPr>
        <w:rPr>
          <w:rFonts w:ascii="Century" w:hAnsi="Century"/>
        </w:rPr>
      </w:pPr>
    </w:p>
    <w:p w14:paraId="280BE427" w14:textId="77777777" w:rsidR="00D30DD0" w:rsidRPr="001674C3" w:rsidRDefault="00D30DD0" w:rsidP="00D30DD0">
      <w:pPr>
        <w:rPr>
          <w:rFonts w:ascii="Century" w:hAnsi="Century"/>
          <w:b/>
          <w:bCs/>
          <w:sz w:val="32"/>
          <w:szCs w:val="32"/>
        </w:rPr>
      </w:pPr>
      <w:r w:rsidRPr="001674C3">
        <w:rPr>
          <w:rFonts w:ascii="Century" w:hAnsi="Century"/>
          <w:b/>
          <w:bCs/>
          <w:sz w:val="32"/>
          <w:szCs w:val="32"/>
        </w:rPr>
        <w:t>Karla D. Carter</w:t>
      </w:r>
    </w:p>
    <w:p w14:paraId="6B3C755F" w14:textId="77777777" w:rsidR="00D30DD0" w:rsidRPr="001674C3" w:rsidRDefault="00D30DD0" w:rsidP="00D30DD0">
      <w:pPr>
        <w:rPr>
          <w:rFonts w:ascii="Century" w:hAnsi="Century"/>
          <w:b/>
          <w:bCs/>
          <w:sz w:val="32"/>
          <w:szCs w:val="32"/>
        </w:rPr>
      </w:pPr>
      <w:r w:rsidRPr="001674C3">
        <w:rPr>
          <w:rFonts w:ascii="Century" w:hAnsi="Century"/>
          <w:b/>
          <w:bCs/>
          <w:sz w:val="32"/>
          <w:szCs w:val="32"/>
        </w:rPr>
        <w:t>Interim Deputy City Attorney, City of Suffolk</w:t>
      </w:r>
    </w:p>
    <w:p w14:paraId="096FA91D" w14:textId="77777777" w:rsidR="00D30DD0" w:rsidRDefault="00D30DD0" w:rsidP="00D30DD0">
      <w:pPr>
        <w:rPr>
          <w:rFonts w:ascii="Century" w:hAnsi="Century"/>
        </w:rPr>
      </w:pPr>
    </w:p>
    <w:p w14:paraId="4D641C9D" w14:textId="77777777" w:rsidR="001674C3" w:rsidRDefault="001674C3">
      <w:pPr>
        <w:rPr>
          <w:rFonts w:ascii="Century" w:hAnsi="Century"/>
        </w:rPr>
      </w:pPr>
    </w:p>
    <w:p w14:paraId="6FBCEA18" w14:textId="77777777" w:rsidR="001674C3" w:rsidRDefault="001674C3">
      <w:pPr>
        <w:rPr>
          <w:rFonts w:ascii="Century" w:hAnsi="Century"/>
        </w:rPr>
      </w:pPr>
    </w:p>
    <w:p w14:paraId="2E7BBCE6" w14:textId="77777777" w:rsidR="001674C3" w:rsidRDefault="001674C3">
      <w:pPr>
        <w:rPr>
          <w:rFonts w:ascii="Century" w:hAnsi="Century"/>
        </w:rPr>
      </w:pPr>
    </w:p>
    <w:p w14:paraId="1DF1A11E" w14:textId="77777777" w:rsidR="001674C3" w:rsidRDefault="001674C3">
      <w:pPr>
        <w:rPr>
          <w:rFonts w:ascii="Century" w:hAnsi="Century"/>
        </w:rPr>
      </w:pPr>
    </w:p>
    <w:p w14:paraId="03F320B2" w14:textId="77777777" w:rsidR="001674C3" w:rsidRDefault="001674C3">
      <w:pPr>
        <w:rPr>
          <w:rFonts w:ascii="Century" w:hAnsi="Century"/>
        </w:rPr>
      </w:pPr>
    </w:p>
    <w:p w14:paraId="4AD64339" w14:textId="77777777" w:rsidR="001674C3" w:rsidRDefault="001674C3">
      <w:pPr>
        <w:rPr>
          <w:rFonts w:ascii="Century" w:hAnsi="Century"/>
        </w:rPr>
      </w:pPr>
    </w:p>
    <w:p w14:paraId="0C1AAAED" w14:textId="77777777" w:rsidR="001674C3" w:rsidRDefault="001674C3">
      <w:pPr>
        <w:rPr>
          <w:rFonts w:ascii="Century" w:hAnsi="Century"/>
        </w:rPr>
      </w:pPr>
    </w:p>
    <w:p w14:paraId="28F1FD35" w14:textId="77777777" w:rsidR="001674C3" w:rsidRDefault="001674C3">
      <w:pPr>
        <w:rPr>
          <w:rFonts w:ascii="Century" w:hAnsi="Century"/>
        </w:rPr>
      </w:pPr>
    </w:p>
    <w:p w14:paraId="15FF2B9F" w14:textId="4D622B25" w:rsidR="001674C3" w:rsidRPr="001674C3" w:rsidRDefault="001674C3">
      <w:pPr>
        <w:rPr>
          <w:rFonts w:ascii="Century" w:hAnsi="Century"/>
          <w:b/>
          <w:bCs/>
          <w:sz w:val="32"/>
          <w:szCs w:val="32"/>
        </w:rPr>
      </w:pPr>
      <w:r w:rsidRPr="001674C3">
        <w:rPr>
          <w:rFonts w:ascii="Century" w:hAnsi="Century"/>
          <w:b/>
          <w:bCs/>
          <w:sz w:val="32"/>
          <w:szCs w:val="32"/>
        </w:rPr>
        <w:t>OLD DOMINION BAR ASSOCIATION</w:t>
      </w:r>
    </w:p>
    <w:p w14:paraId="7AE58F4C" w14:textId="1BB76AB8" w:rsidR="001674C3" w:rsidRDefault="001674C3">
      <w:pPr>
        <w:rPr>
          <w:rFonts w:ascii="Century" w:hAnsi="Century"/>
          <w:b/>
          <w:bCs/>
          <w:sz w:val="32"/>
          <w:szCs w:val="32"/>
        </w:rPr>
      </w:pPr>
      <w:r w:rsidRPr="001674C3">
        <w:rPr>
          <w:rFonts w:ascii="Century" w:hAnsi="Century"/>
          <w:b/>
          <w:bCs/>
          <w:sz w:val="32"/>
          <w:szCs w:val="32"/>
        </w:rPr>
        <w:t>81</w:t>
      </w:r>
      <w:r w:rsidRPr="001674C3">
        <w:rPr>
          <w:rFonts w:ascii="Century" w:hAnsi="Century"/>
          <w:b/>
          <w:bCs/>
          <w:sz w:val="32"/>
          <w:szCs w:val="32"/>
          <w:vertAlign w:val="superscript"/>
        </w:rPr>
        <w:t>ST</w:t>
      </w:r>
      <w:r w:rsidRPr="001674C3">
        <w:rPr>
          <w:rFonts w:ascii="Century" w:hAnsi="Century"/>
          <w:b/>
          <w:bCs/>
          <w:sz w:val="32"/>
          <w:szCs w:val="32"/>
        </w:rPr>
        <w:t xml:space="preserve"> ANNUAL CONFERENCE</w:t>
      </w:r>
    </w:p>
    <w:p w14:paraId="6685DC9F" w14:textId="565011CD" w:rsidR="00D30DD0" w:rsidRPr="001674C3" w:rsidRDefault="00D30DD0">
      <w:pPr>
        <w:rPr>
          <w:rFonts w:ascii="Century" w:hAnsi="Century"/>
          <w:b/>
          <w:bCs/>
          <w:sz w:val="32"/>
          <w:szCs w:val="32"/>
        </w:rPr>
      </w:pPr>
      <w:r>
        <w:rPr>
          <w:rFonts w:ascii="Century" w:hAnsi="Century"/>
          <w:b/>
          <w:bCs/>
          <w:sz w:val="32"/>
          <w:szCs w:val="32"/>
        </w:rPr>
        <w:t>May 20-23, 2021</w:t>
      </w:r>
    </w:p>
    <w:p w14:paraId="18CF5B05" w14:textId="65E38703" w:rsidR="001674C3" w:rsidRDefault="001674C3">
      <w:pPr>
        <w:rPr>
          <w:rFonts w:ascii="Century" w:hAnsi="Century"/>
        </w:rPr>
      </w:pPr>
    </w:p>
    <w:p w14:paraId="64BF60C5" w14:textId="1CF047E0" w:rsidR="001674C3" w:rsidRDefault="001674C3">
      <w:pPr>
        <w:rPr>
          <w:rFonts w:ascii="Century" w:hAnsi="Century"/>
        </w:rPr>
      </w:pPr>
    </w:p>
    <w:p w14:paraId="49021BD7" w14:textId="70F2DB2C" w:rsidR="001674C3" w:rsidRDefault="001674C3">
      <w:pPr>
        <w:rPr>
          <w:rFonts w:ascii="Century" w:hAnsi="Century"/>
        </w:rPr>
      </w:pPr>
    </w:p>
    <w:p w14:paraId="149D9537" w14:textId="77777777" w:rsidR="00D77BF1" w:rsidRDefault="00D77BF1">
      <w:pPr>
        <w:rPr>
          <w:rFonts w:ascii="Century" w:hAnsi="Century"/>
        </w:rPr>
      </w:pPr>
    </w:p>
    <w:p w14:paraId="6B612D83" w14:textId="2C134519" w:rsidR="00D77BF1" w:rsidRDefault="003B09AD">
      <w:pPr>
        <w:rPr>
          <w:rFonts w:ascii="Century" w:hAnsi="Century"/>
        </w:rPr>
      </w:pPr>
      <w:r>
        <w:rPr>
          <w:rFonts w:ascii="Century" w:hAnsi="Century"/>
        </w:rPr>
        <w:lastRenderedPageBreak/>
        <w:t xml:space="preserve">My session will focus on </w:t>
      </w:r>
      <w:r w:rsidR="00782E6D">
        <w:rPr>
          <w:rFonts w:ascii="Century" w:hAnsi="Century"/>
        </w:rPr>
        <w:t>heirs’ property in Black communities</w:t>
      </w:r>
      <w:r w:rsidR="00D77BF1">
        <w:rPr>
          <w:rFonts w:ascii="Century" w:hAnsi="Century"/>
        </w:rPr>
        <w:t xml:space="preserve">, how millions of acres of Black-owned heirs’ property has been lost due to abusive legal practices used against Black </w:t>
      </w:r>
      <w:r w:rsidR="00DF4266">
        <w:rPr>
          <w:rFonts w:ascii="Century" w:hAnsi="Century"/>
        </w:rPr>
        <w:t>landowners</w:t>
      </w:r>
      <w:r w:rsidR="00D77BF1">
        <w:rPr>
          <w:rFonts w:ascii="Century" w:hAnsi="Century"/>
        </w:rPr>
        <w:t>, and current efforts to bring about partition reform to address these social injustices. Topics of discussion will revolve around the following:</w:t>
      </w:r>
    </w:p>
    <w:p w14:paraId="0D9C99E4" w14:textId="4BC86E95" w:rsidR="00D77BF1" w:rsidRDefault="00D77BF1">
      <w:pPr>
        <w:rPr>
          <w:rFonts w:ascii="Century" w:hAnsi="Century"/>
        </w:rPr>
      </w:pPr>
    </w:p>
    <w:p w14:paraId="48DA5EC8" w14:textId="5EC96EDC" w:rsidR="00D77BF1" w:rsidRPr="001674C3" w:rsidRDefault="00B43F2F" w:rsidP="00D322F2">
      <w:pPr>
        <w:pStyle w:val="ListParagraph"/>
        <w:numPr>
          <w:ilvl w:val="0"/>
          <w:numId w:val="17"/>
        </w:numPr>
        <w:rPr>
          <w:rFonts w:ascii="Century" w:hAnsi="Century"/>
          <w:b/>
          <w:bCs/>
        </w:rPr>
      </w:pPr>
      <w:r w:rsidRPr="001674C3">
        <w:rPr>
          <w:rFonts w:ascii="Century" w:hAnsi="Century"/>
          <w:b/>
          <w:bCs/>
        </w:rPr>
        <w:t>LAND OWNERSHIP</w:t>
      </w:r>
      <w:r w:rsidR="00E75E47">
        <w:rPr>
          <w:rFonts w:ascii="Century" w:hAnsi="Century"/>
          <w:b/>
          <w:bCs/>
        </w:rPr>
        <w:t xml:space="preserve"> </w:t>
      </w:r>
      <w:r w:rsidRPr="001674C3">
        <w:rPr>
          <w:rFonts w:ascii="Century" w:hAnsi="Century"/>
          <w:b/>
          <w:bCs/>
        </w:rPr>
        <w:t>POST-EMANCIPATION</w:t>
      </w:r>
      <w:r w:rsidR="00D77BF1" w:rsidRPr="001674C3">
        <w:rPr>
          <w:rFonts w:ascii="Century" w:hAnsi="Century"/>
          <w:b/>
          <w:bCs/>
        </w:rPr>
        <w:t xml:space="preserve"> </w:t>
      </w:r>
    </w:p>
    <w:p w14:paraId="25F003CD" w14:textId="41AD1094" w:rsidR="00D322F2" w:rsidRDefault="00D322F2" w:rsidP="00D322F2">
      <w:pPr>
        <w:pStyle w:val="ListParagraph"/>
        <w:ind w:left="1080"/>
        <w:rPr>
          <w:rFonts w:ascii="Century" w:hAnsi="Century"/>
        </w:rPr>
      </w:pPr>
    </w:p>
    <w:p w14:paraId="2761E7A4" w14:textId="68EED4D4" w:rsidR="00D322F2" w:rsidRDefault="0009697E" w:rsidP="00D322F2">
      <w:pPr>
        <w:pStyle w:val="ListParagraph"/>
        <w:numPr>
          <w:ilvl w:val="0"/>
          <w:numId w:val="4"/>
        </w:numPr>
        <w:rPr>
          <w:rFonts w:ascii="Century" w:hAnsi="Century"/>
        </w:rPr>
      </w:pPr>
      <w:r>
        <w:rPr>
          <w:rFonts w:ascii="Century" w:hAnsi="Century"/>
        </w:rPr>
        <w:t xml:space="preserve">SPECIAL FIELD ORDER NO. 15 </w:t>
      </w:r>
      <w:r w:rsidR="00A41329">
        <w:rPr>
          <w:rStyle w:val="FootnoteReference"/>
          <w:rFonts w:ascii="Century" w:hAnsi="Century"/>
        </w:rPr>
        <w:footnoteReference w:id="1"/>
      </w:r>
      <w:r>
        <w:rPr>
          <w:rFonts w:ascii="Century" w:hAnsi="Century"/>
        </w:rPr>
        <w:t xml:space="preserve"> </w:t>
      </w:r>
    </w:p>
    <w:p w14:paraId="7E0CE0E7" w14:textId="4F1D0384" w:rsidR="0009697E" w:rsidRDefault="0009697E" w:rsidP="0009697E">
      <w:pPr>
        <w:pStyle w:val="ListParagraph"/>
        <w:ind w:left="1440"/>
        <w:rPr>
          <w:rFonts w:ascii="Century" w:hAnsi="Century"/>
        </w:rPr>
      </w:pPr>
    </w:p>
    <w:p w14:paraId="09C189C0" w14:textId="39DA7E42" w:rsidR="00C63712" w:rsidRDefault="00E44028" w:rsidP="00C63712">
      <w:pPr>
        <w:pStyle w:val="ListParagraph"/>
        <w:numPr>
          <w:ilvl w:val="0"/>
          <w:numId w:val="19"/>
        </w:numPr>
        <w:rPr>
          <w:rFonts w:ascii="Century" w:hAnsi="Century"/>
        </w:rPr>
      </w:pPr>
      <w:r>
        <w:rPr>
          <w:rFonts w:ascii="Century" w:hAnsi="Century"/>
        </w:rPr>
        <w:t>Approved by President Abraham Lincoln and i</w:t>
      </w:r>
      <w:r w:rsidR="0009697E">
        <w:rPr>
          <w:rFonts w:ascii="Century" w:hAnsi="Century"/>
        </w:rPr>
        <w:t xml:space="preserve">ssued by </w:t>
      </w:r>
      <w:r w:rsidR="00235070">
        <w:rPr>
          <w:rFonts w:ascii="Century" w:hAnsi="Century"/>
        </w:rPr>
        <w:t xml:space="preserve">Union General </w:t>
      </w:r>
      <w:r w:rsidR="0009697E">
        <w:rPr>
          <w:rFonts w:ascii="Century" w:hAnsi="Century"/>
        </w:rPr>
        <w:t>William Tecumseh Sherman on January 16, 1</w:t>
      </w:r>
      <w:r w:rsidR="00CC4118">
        <w:rPr>
          <w:rFonts w:ascii="Century" w:hAnsi="Century"/>
        </w:rPr>
        <w:t>86</w:t>
      </w:r>
      <w:r w:rsidR="0009697E">
        <w:rPr>
          <w:rFonts w:ascii="Century" w:hAnsi="Century"/>
        </w:rPr>
        <w:t>5</w:t>
      </w:r>
      <w:r>
        <w:rPr>
          <w:rFonts w:ascii="Century" w:hAnsi="Century"/>
        </w:rPr>
        <w:t>.</w:t>
      </w:r>
      <w:r w:rsidR="00E176F7">
        <w:rPr>
          <w:rFonts w:ascii="Century" w:hAnsi="Century"/>
        </w:rPr>
        <w:t xml:space="preserve"> The order was</w:t>
      </w:r>
      <w:r w:rsidR="00235070">
        <w:rPr>
          <w:rFonts w:ascii="Century" w:hAnsi="Century"/>
        </w:rPr>
        <w:t xml:space="preserve"> issued after General Sherman and Secretary of War Edwin M. Stanton met with 20 leaders of the black community in Savannah, Georgia</w:t>
      </w:r>
      <w:r>
        <w:rPr>
          <w:rFonts w:ascii="Century" w:hAnsi="Century"/>
        </w:rPr>
        <w:t>, consisting of mostly Baptist and Methodist ministers</w:t>
      </w:r>
      <w:r w:rsidR="00E176F7">
        <w:rPr>
          <w:rFonts w:ascii="Century" w:hAnsi="Century"/>
        </w:rPr>
        <w:t xml:space="preserve">. </w:t>
      </w:r>
    </w:p>
    <w:p w14:paraId="70530016" w14:textId="77777777" w:rsidR="00C63712" w:rsidRDefault="00C63712" w:rsidP="00C63712">
      <w:pPr>
        <w:pStyle w:val="ListParagraph"/>
        <w:ind w:left="1800"/>
        <w:rPr>
          <w:rFonts w:ascii="Century" w:hAnsi="Century"/>
        </w:rPr>
      </w:pPr>
    </w:p>
    <w:p w14:paraId="14D456E8" w14:textId="0E2A8C96" w:rsidR="002B7050" w:rsidRPr="00E44028" w:rsidRDefault="00E44028" w:rsidP="00E44028">
      <w:pPr>
        <w:pStyle w:val="ListParagraph"/>
        <w:numPr>
          <w:ilvl w:val="0"/>
          <w:numId w:val="19"/>
        </w:numPr>
        <w:rPr>
          <w:rFonts w:ascii="Century" w:hAnsi="Century"/>
        </w:rPr>
      </w:pPr>
      <w:r>
        <w:rPr>
          <w:rFonts w:ascii="Century" w:hAnsi="Century"/>
        </w:rPr>
        <w:t>The result: r</w:t>
      </w:r>
      <w:r w:rsidR="00C63712" w:rsidRPr="00C63712">
        <w:rPr>
          <w:rFonts w:ascii="Century" w:hAnsi="Century"/>
        </w:rPr>
        <w:t>edistribut</w:t>
      </w:r>
      <w:r>
        <w:rPr>
          <w:rFonts w:ascii="Century" w:hAnsi="Century"/>
        </w:rPr>
        <w:t>ion of</w:t>
      </w:r>
      <w:r w:rsidR="00C63712" w:rsidRPr="00C63712">
        <w:rPr>
          <w:rFonts w:ascii="Century" w:hAnsi="Century"/>
        </w:rPr>
        <w:t xml:space="preserve"> </w:t>
      </w:r>
      <w:r w:rsidR="002B7050" w:rsidRPr="00C63712">
        <w:rPr>
          <w:rFonts w:ascii="Century" w:hAnsi="Century"/>
        </w:rPr>
        <w:t xml:space="preserve">400,000 acres </w:t>
      </w:r>
      <w:r w:rsidR="00C63712">
        <w:rPr>
          <w:rFonts w:ascii="Century" w:hAnsi="Century"/>
        </w:rPr>
        <w:t xml:space="preserve">of land </w:t>
      </w:r>
      <w:r w:rsidR="002B7050" w:rsidRPr="00C63712">
        <w:rPr>
          <w:rFonts w:ascii="Century" w:hAnsi="Century"/>
        </w:rPr>
        <w:t>formerly owned by Confederate landowners</w:t>
      </w:r>
      <w:r w:rsidR="00C63712">
        <w:rPr>
          <w:rFonts w:ascii="Century" w:hAnsi="Century"/>
        </w:rPr>
        <w:t xml:space="preserve"> </w:t>
      </w:r>
      <w:r w:rsidR="00C63712">
        <w:rPr>
          <w:rFonts w:ascii="Century" w:hAnsi="Century"/>
        </w:rPr>
        <w:t>to f</w:t>
      </w:r>
      <w:r w:rsidR="00C63712" w:rsidRPr="00E44028">
        <w:rPr>
          <w:rFonts w:ascii="Century" w:hAnsi="Century"/>
        </w:rPr>
        <w:t>reed slaves</w:t>
      </w:r>
      <w:r w:rsidR="00E176F7">
        <w:rPr>
          <w:rFonts w:ascii="Century" w:hAnsi="Century"/>
        </w:rPr>
        <w:t>.</w:t>
      </w:r>
    </w:p>
    <w:p w14:paraId="77255ED9" w14:textId="77777777" w:rsidR="00C63712" w:rsidRPr="00C63712" w:rsidRDefault="00C63712" w:rsidP="00C63712">
      <w:pPr>
        <w:pStyle w:val="ListParagraph"/>
        <w:rPr>
          <w:rFonts w:ascii="Century" w:hAnsi="Century"/>
        </w:rPr>
      </w:pPr>
    </w:p>
    <w:p w14:paraId="51E91DB4" w14:textId="77777777" w:rsidR="00C63712" w:rsidRPr="00C63712" w:rsidRDefault="00C63712" w:rsidP="00C63712">
      <w:pPr>
        <w:pStyle w:val="ListParagraph"/>
        <w:ind w:left="1800"/>
        <w:rPr>
          <w:rFonts w:ascii="Century" w:hAnsi="Century"/>
        </w:rPr>
      </w:pPr>
    </w:p>
    <w:p w14:paraId="3B74F339" w14:textId="77777777" w:rsidR="002B7050" w:rsidRDefault="002B7050" w:rsidP="0009697E">
      <w:pPr>
        <w:pStyle w:val="ListParagraph"/>
        <w:numPr>
          <w:ilvl w:val="0"/>
          <w:numId w:val="19"/>
        </w:numPr>
        <w:rPr>
          <w:rFonts w:ascii="Century" w:hAnsi="Century"/>
        </w:rPr>
      </w:pPr>
      <w:r>
        <w:rPr>
          <w:rFonts w:ascii="Century" w:hAnsi="Century"/>
        </w:rPr>
        <w:t xml:space="preserve">The land covered by the order: </w:t>
      </w:r>
    </w:p>
    <w:p w14:paraId="7320FE35" w14:textId="77777777" w:rsidR="002B7050" w:rsidRDefault="002B7050" w:rsidP="002B7050">
      <w:pPr>
        <w:pStyle w:val="ListParagraph"/>
        <w:ind w:left="1800"/>
        <w:rPr>
          <w:rFonts w:ascii="Century" w:hAnsi="Century"/>
        </w:rPr>
      </w:pPr>
    </w:p>
    <w:p w14:paraId="1603374F" w14:textId="7945DF6E" w:rsidR="0009697E" w:rsidRDefault="002B7050" w:rsidP="002B7050">
      <w:pPr>
        <w:pStyle w:val="ListParagraph"/>
        <w:ind w:left="1800"/>
        <w:rPr>
          <w:rFonts w:ascii="Century" w:hAnsi="Century"/>
        </w:rPr>
      </w:pPr>
      <w:r>
        <w:rPr>
          <w:rFonts w:ascii="Century" w:hAnsi="Century"/>
        </w:rPr>
        <w:t xml:space="preserve">“The islands from Charleston, south, the abandoned rice fields along the rives for thirty miles back from the sea, and the country bordering the St. John’s river, Florida, are reserved and set apart for the settlement of negroes now made free by the acts of war and the proclamation of the President of the United States.” </w:t>
      </w:r>
    </w:p>
    <w:p w14:paraId="08996E02" w14:textId="77777777" w:rsidR="00C63712" w:rsidRDefault="00C63712" w:rsidP="002B7050">
      <w:pPr>
        <w:pStyle w:val="ListParagraph"/>
        <w:ind w:left="1800"/>
        <w:rPr>
          <w:rFonts w:ascii="Century" w:hAnsi="Century"/>
        </w:rPr>
      </w:pPr>
    </w:p>
    <w:p w14:paraId="1A0B8133" w14:textId="6D684DA3" w:rsidR="00C63712" w:rsidRDefault="00235070" w:rsidP="00C63712">
      <w:pPr>
        <w:pStyle w:val="ListParagraph"/>
        <w:numPr>
          <w:ilvl w:val="0"/>
          <w:numId w:val="19"/>
        </w:numPr>
        <w:rPr>
          <w:rFonts w:ascii="Century" w:hAnsi="Century"/>
        </w:rPr>
      </w:pPr>
      <w:r>
        <w:rPr>
          <w:rFonts w:ascii="Century" w:hAnsi="Century"/>
        </w:rPr>
        <w:t>Management of the land:</w:t>
      </w:r>
    </w:p>
    <w:p w14:paraId="68A17181" w14:textId="148C594D" w:rsidR="00235070" w:rsidRDefault="00235070" w:rsidP="00235070">
      <w:pPr>
        <w:pStyle w:val="ListParagraph"/>
        <w:ind w:left="1800"/>
        <w:rPr>
          <w:rFonts w:ascii="Century" w:hAnsi="Century"/>
        </w:rPr>
      </w:pPr>
    </w:p>
    <w:p w14:paraId="6F0AF7AC" w14:textId="041E4288" w:rsidR="00E44028" w:rsidRDefault="00D30DD0" w:rsidP="00C30C72">
      <w:pPr>
        <w:pStyle w:val="ListParagraph"/>
        <w:ind w:left="1800"/>
        <w:rPr>
          <w:rFonts w:ascii="Century" w:hAnsi="Century"/>
        </w:rPr>
      </w:pPr>
      <w:r>
        <w:rPr>
          <w:rFonts w:ascii="Century" w:hAnsi="Century"/>
        </w:rPr>
        <w:t>“. . .</w:t>
      </w:r>
      <w:r w:rsidR="00235070">
        <w:rPr>
          <w:rFonts w:ascii="Century" w:hAnsi="Century"/>
        </w:rPr>
        <w:t xml:space="preserve"> no white person whatever, unless military offices and soldiers detailed for duty, will be permitted to reside; and the sole and exclusive management of affairs will be left to the freed people themselves . . . the negro is free and must be dealt with as such.</w:t>
      </w:r>
    </w:p>
    <w:p w14:paraId="47CF2EC2" w14:textId="77777777" w:rsidR="00E44028" w:rsidRDefault="00E44028" w:rsidP="00235070">
      <w:pPr>
        <w:rPr>
          <w:rFonts w:ascii="Century" w:hAnsi="Century"/>
        </w:rPr>
      </w:pPr>
    </w:p>
    <w:p w14:paraId="6C5308C6" w14:textId="2D55857A" w:rsidR="00235070" w:rsidRDefault="00235070" w:rsidP="00235070">
      <w:pPr>
        <w:pStyle w:val="ListParagraph"/>
        <w:numPr>
          <w:ilvl w:val="0"/>
          <w:numId w:val="19"/>
        </w:numPr>
        <w:rPr>
          <w:rFonts w:ascii="Century" w:hAnsi="Century"/>
        </w:rPr>
      </w:pPr>
      <w:r>
        <w:rPr>
          <w:rFonts w:ascii="Century" w:hAnsi="Century"/>
        </w:rPr>
        <w:t>How much allotted:</w:t>
      </w:r>
    </w:p>
    <w:p w14:paraId="068B18E0" w14:textId="2BDEF937" w:rsidR="00B43F2F" w:rsidRDefault="00D30DD0" w:rsidP="00235070">
      <w:pPr>
        <w:ind w:left="1800"/>
        <w:rPr>
          <w:rFonts w:ascii="Century" w:hAnsi="Century"/>
        </w:rPr>
      </w:pPr>
      <w:r>
        <w:rPr>
          <w:rFonts w:ascii="Century" w:hAnsi="Century"/>
        </w:rPr>
        <w:t>“. . .</w:t>
      </w:r>
      <w:r w:rsidR="00235070">
        <w:rPr>
          <w:rFonts w:ascii="Century" w:hAnsi="Century"/>
        </w:rPr>
        <w:t xml:space="preserve"> each family shall have a plot of not more than (40) acres of tillable ground . . .”  Fun fact: the mule is not actually mentioned in the order, but you need something to till that ground . . .</w:t>
      </w:r>
    </w:p>
    <w:p w14:paraId="44EE5843" w14:textId="4D3F0AB8" w:rsidR="00235070" w:rsidRDefault="00235070" w:rsidP="00235070">
      <w:pPr>
        <w:ind w:left="1800"/>
        <w:rPr>
          <w:rFonts w:ascii="Century" w:hAnsi="Century"/>
        </w:rPr>
      </w:pPr>
      <w:r>
        <w:rPr>
          <w:rFonts w:ascii="Century" w:hAnsi="Century"/>
        </w:rPr>
        <w:lastRenderedPageBreak/>
        <w:t xml:space="preserve"> </w:t>
      </w:r>
    </w:p>
    <w:p w14:paraId="26E11122" w14:textId="0A15B278" w:rsidR="00E176F7" w:rsidRDefault="00B43F2F" w:rsidP="00B43F2F">
      <w:pPr>
        <w:pStyle w:val="ListParagraph"/>
        <w:numPr>
          <w:ilvl w:val="0"/>
          <w:numId w:val="19"/>
        </w:numPr>
        <w:rPr>
          <w:rFonts w:ascii="Century" w:hAnsi="Century"/>
        </w:rPr>
      </w:pPr>
      <w:r>
        <w:rPr>
          <w:rFonts w:ascii="Century" w:hAnsi="Century"/>
        </w:rPr>
        <w:t xml:space="preserve">Freedman’s Bureau: </w:t>
      </w:r>
      <w:r w:rsidR="00E176F7" w:rsidRPr="00B43F2F">
        <w:rPr>
          <w:rFonts w:ascii="Century" w:hAnsi="Century"/>
        </w:rPr>
        <w:t>The Bureau of Refugees, Freedmen, and Abandoned Lands, referred to as the Freedmen’s Bureau</w:t>
      </w:r>
      <w:r>
        <w:rPr>
          <w:rFonts w:ascii="Century" w:hAnsi="Century"/>
        </w:rPr>
        <w:t>,</w:t>
      </w:r>
      <w:r w:rsidR="00E176F7" w:rsidRPr="00B43F2F">
        <w:rPr>
          <w:rFonts w:ascii="Century" w:hAnsi="Century"/>
        </w:rPr>
        <w:t xml:space="preserve"> was established March 3, 1865 to</w:t>
      </w:r>
      <w:r w:rsidRPr="00B43F2F">
        <w:rPr>
          <w:rFonts w:ascii="Century" w:hAnsi="Century"/>
        </w:rPr>
        <w:t xml:space="preserve"> he</w:t>
      </w:r>
      <w:r>
        <w:rPr>
          <w:rFonts w:ascii="Century" w:hAnsi="Century"/>
        </w:rPr>
        <w:t xml:space="preserve">lp former slaves and poor whites in the South. One of its roles was to help settle former slaves on the land confiscated or abandoned during the Civil War. </w:t>
      </w:r>
    </w:p>
    <w:p w14:paraId="53CF5F31" w14:textId="77777777" w:rsidR="004977E8" w:rsidRDefault="004977E8" w:rsidP="004977E8">
      <w:pPr>
        <w:pStyle w:val="ListParagraph"/>
        <w:ind w:left="1800"/>
        <w:rPr>
          <w:rFonts w:ascii="Century" w:hAnsi="Century"/>
        </w:rPr>
      </w:pPr>
    </w:p>
    <w:p w14:paraId="4F898078" w14:textId="2F638E77" w:rsidR="00235070" w:rsidRDefault="004977E8" w:rsidP="00235070">
      <w:pPr>
        <w:pStyle w:val="ListParagraph"/>
        <w:numPr>
          <w:ilvl w:val="0"/>
          <w:numId w:val="19"/>
        </w:numPr>
        <w:rPr>
          <w:rFonts w:ascii="Century" w:hAnsi="Century"/>
        </w:rPr>
      </w:pPr>
      <w:r w:rsidRPr="004977E8">
        <w:rPr>
          <w:rFonts w:ascii="Century" w:hAnsi="Century"/>
        </w:rPr>
        <w:t xml:space="preserve">Short-lived Relief: Special Order No. 15 was revoked by President Andrew Johnson, who had taken office after Lincoln’s assassination. Sympathetic to the confederate cause, he returned the land set aside </w:t>
      </w:r>
      <w:r w:rsidR="000A0E2D">
        <w:rPr>
          <w:rFonts w:ascii="Century" w:hAnsi="Century"/>
        </w:rPr>
        <w:t xml:space="preserve">for the freed slaves </w:t>
      </w:r>
      <w:r w:rsidRPr="004977E8">
        <w:rPr>
          <w:rFonts w:ascii="Century" w:hAnsi="Century"/>
        </w:rPr>
        <w:t xml:space="preserve">to former slaveholders. </w:t>
      </w:r>
    </w:p>
    <w:p w14:paraId="1099A44D" w14:textId="77777777" w:rsidR="004977E8" w:rsidRPr="004977E8" w:rsidRDefault="004977E8" w:rsidP="004977E8">
      <w:pPr>
        <w:pStyle w:val="ListParagraph"/>
        <w:rPr>
          <w:rFonts w:ascii="Century" w:hAnsi="Century"/>
        </w:rPr>
      </w:pPr>
    </w:p>
    <w:p w14:paraId="49DE740B" w14:textId="79BD7178" w:rsidR="004F171E" w:rsidRPr="00385060" w:rsidRDefault="00385060" w:rsidP="00385060">
      <w:pPr>
        <w:rPr>
          <w:rFonts w:ascii="Century" w:hAnsi="Century"/>
        </w:rPr>
      </w:pPr>
      <w:r>
        <w:rPr>
          <w:rFonts w:ascii="Century" w:hAnsi="Century"/>
        </w:rPr>
        <w:t>II.</w:t>
      </w:r>
      <w:r>
        <w:rPr>
          <w:rFonts w:ascii="Century" w:hAnsi="Century"/>
        </w:rPr>
        <w:tab/>
      </w:r>
      <w:r w:rsidR="001A5697" w:rsidRPr="00385060">
        <w:rPr>
          <w:rFonts w:ascii="Century" w:hAnsi="Century"/>
        </w:rPr>
        <w:t xml:space="preserve">THE </w:t>
      </w:r>
      <w:r w:rsidR="004F171E" w:rsidRPr="00385060">
        <w:rPr>
          <w:rFonts w:ascii="Century" w:hAnsi="Century"/>
        </w:rPr>
        <w:t xml:space="preserve">RISE </w:t>
      </w:r>
      <w:r w:rsidRPr="00385060">
        <w:rPr>
          <w:rFonts w:ascii="Century" w:hAnsi="Century"/>
        </w:rPr>
        <w:t xml:space="preserve">AND FALL </w:t>
      </w:r>
      <w:r w:rsidR="004F171E" w:rsidRPr="00385060">
        <w:rPr>
          <w:rFonts w:ascii="Century" w:hAnsi="Century"/>
        </w:rPr>
        <w:t xml:space="preserve">OF BLACK LAND OWNERSHIP </w:t>
      </w:r>
      <w:r w:rsidRPr="00385060">
        <w:rPr>
          <w:rFonts w:ascii="Century" w:hAnsi="Century"/>
        </w:rPr>
        <w:t xml:space="preserve">SINCE THE </w:t>
      </w:r>
      <w:r w:rsidR="004F171E" w:rsidRPr="00385060">
        <w:rPr>
          <w:rFonts w:ascii="Century" w:hAnsi="Century"/>
        </w:rPr>
        <w:t>LATE 1800’</w:t>
      </w:r>
      <w:r w:rsidR="00C30C72">
        <w:rPr>
          <w:rFonts w:ascii="Century" w:hAnsi="Century"/>
        </w:rPr>
        <w:t>s</w:t>
      </w:r>
      <w:r w:rsidR="000A0E2D">
        <w:rPr>
          <w:rStyle w:val="FootnoteReference"/>
          <w:rFonts w:ascii="Century" w:hAnsi="Century"/>
        </w:rPr>
        <w:footnoteReference w:id="2"/>
      </w:r>
    </w:p>
    <w:p w14:paraId="3E919300" w14:textId="729840D2" w:rsidR="00385060" w:rsidRDefault="00385060" w:rsidP="00385060">
      <w:pPr>
        <w:ind w:left="720" w:firstLine="720"/>
        <w:rPr>
          <w:rFonts w:ascii="Century" w:hAnsi="Century"/>
        </w:rPr>
      </w:pPr>
      <w:r>
        <w:rPr>
          <w:rFonts w:ascii="Century" w:hAnsi="Century"/>
        </w:rPr>
        <w:t xml:space="preserve">A. </w:t>
      </w:r>
      <w:r w:rsidR="00A41329">
        <w:rPr>
          <w:rFonts w:ascii="Century" w:hAnsi="Century"/>
        </w:rPr>
        <w:t xml:space="preserve">1875-1910: </w:t>
      </w:r>
      <w:r>
        <w:rPr>
          <w:rFonts w:ascii="Century" w:hAnsi="Century"/>
        </w:rPr>
        <w:t xml:space="preserve"> </w:t>
      </w:r>
    </w:p>
    <w:p w14:paraId="0B2AEE19" w14:textId="07756ADF" w:rsidR="004F171E" w:rsidRPr="00385060" w:rsidRDefault="004F171E" w:rsidP="00385060">
      <w:pPr>
        <w:ind w:left="1080" w:firstLine="720"/>
        <w:rPr>
          <w:rFonts w:ascii="Century" w:hAnsi="Century"/>
        </w:rPr>
      </w:pPr>
      <w:r w:rsidRPr="00385060">
        <w:rPr>
          <w:rFonts w:ascii="Century" w:hAnsi="Century"/>
        </w:rPr>
        <w:t xml:space="preserve">1875: 3 million acres </w:t>
      </w:r>
    </w:p>
    <w:p w14:paraId="60178A2C" w14:textId="26F759FD" w:rsidR="004F171E" w:rsidRPr="00385060" w:rsidRDefault="004F171E" w:rsidP="00385060">
      <w:pPr>
        <w:ind w:left="1800"/>
        <w:rPr>
          <w:rFonts w:ascii="Century" w:hAnsi="Century"/>
        </w:rPr>
      </w:pPr>
      <w:r w:rsidRPr="00385060">
        <w:rPr>
          <w:rFonts w:ascii="Century" w:hAnsi="Century"/>
        </w:rPr>
        <w:t>1890: 8 million acres</w:t>
      </w:r>
    </w:p>
    <w:p w14:paraId="7A4405B7" w14:textId="5E8A0E84" w:rsidR="004F171E" w:rsidRPr="00385060" w:rsidRDefault="004F171E" w:rsidP="00385060">
      <w:pPr>
        <w:ind w:left="1080" w:firstLine="720"/>
        <w:rPr>
          <w:rFonts w:ascii="Century" w:hAnsi="Century"/>
        </w:rPr>
      </w:pPr>
      <w:r w:rsidRPr="00385060">
        <w:rPr>
          <w:rFonts w:ascii="Century" w:hAnsi="Century"/>
        </w:rPr>
        <w:t>1900: 12 million acres</w:t>
      </w:r>
    </w:p>
    <w:p w14:paraId="715BBDA2" w14:textId="1F661855" w:rsidR="004F171E" w:rsidRDefault="004F171E" w:rsidP="00385060">
      <w:pPr>
        <w:ind w:left="1800"/>
        <w:rPr>
          <w:rFonts w:ascii="Century" w:hAnsi="Century"/>
        </w:rPr>
      </w:pPr>
      <w:r w:rsidRPr="00385060">
        <w:rPr>
          <w:rFonts w:ascii="Century" w:hAnsi="Century"/>
        </w:rPr>
        <w:t>1910: 15 million acres</w:t>
      </w:r>
      <w:r w:rsidR="00385060">
        <w:rPr>
          <w:rFonts w:ascii="Century" w:hAnsi="Century"/>
        </w:rPr>
        <w:t xml:space="preserve"> </w:t>
      </w:r>
    </w:p>
    <w:p w14:paraId="633A2AF4" w14:textId="118DE65C" w:rsidR="00385060" w:rsidRDefault="00A41329" w:rsidP="00A41329">
      <w:pPr>
        <w:ind w:firstLine="1440"/>
        <w:rPr>
          <w:rFonts w:ascii="Century" w:hAnsi="Century"/>
        </w:rPr>
      </w:pPr>
      <w:r>
        <w:rPr>
          <w:rFonts w:ascii="Century" w:hAnsi="Century"/>
        </w:rPr>
        <w:t xml:space="preserve">B. 1910-1970: Black-land ownership </w:t>
      </w:r>
      <w:r w:rsidRPr="00C30C72">
        <w:rPr>
          <w:rFonts w:ascii="Century" w:hAnsi="Century"/>
          <w:b/>
          <w:bCs/>
        </w:rPr>
        <w:t xml:space="preserve">declined from 15 million acres to 5.5 </w:t>
      </w:r>
      <w:r w:rsidRPr="00C30C72">
        <w:rPr>
          <w:rFonts w:ascii="Century" w:hAnsi="Century"/>
          <w:b/>
          <w:bCs/>
        </w:rPr>
        <w:tab/>
      </w:r>
      <w:r w:rsidRPr="00C30C72">
        <w:rPr>
          <w:rFonts w:ascii="Century" w:hAnsi="Century"/>
          <w:b/>
          <w:bCs/>
        </w:rPr>
        <w:tab/>
      </w:r>
      <w:r w:rsidRPr="00C30C72">
        <w:rPr>
          <w:rFonts w:ascii="Century" w:hAnsi="Century"/>
          <w:b/>
          <w:bCs/>
        </w:rPr>
        <w:tab/>
        <w:t xml:space="preserve">million </w:t>
      </w:r>
      <w:r w:rsidR="00D30DD0" w:rsidRPr="00C30C72">
        <w:rPr>
          <w:rFonts w:ascii="Century" w:hAnsi="Century"/>
          <w:b/>
          <w:bCs/>
        </w:rPr>
        <w:t>acres.</w:t>
      </w:r>
    </w:p>
    <w:p w14:paraId="7537BC7F" w14:textId="119C8521" w:rsidR="00385060" w:rsidRDefault="00A41329" w:rsidP="00385060">
      <w:pPr>
        <w:ind w:left="720" w:firstLine="720"/>
        <w:rPr>
          <w:rFonts w:ascii="Century" w:hAnsi="Century"/>
        </w:rPr>
      </w:pPr>
      <w:r>
        <w:rPr>
          <w:rFonts w:ascii="Century" w:hAnsi="Century"/>
        </w:rPr>
        <w:t>C</w:t>
      </w:r>
      <w:r w:rsidR="00385060">
        <w:rPr>
          <w:rFonts w:ascii="Century" w:hAnsi="Century"/>
        </w:rPr>
        <w:t xml:space="preserve">. </w:t>
      </w:r>
      <w:r>
        <w:rPr>
          <w:rFonts w:ascii="Century" w:hAnsi="Century"/>
        </w:rPr>
        <w:t>Virginia: 1954-1969</w:t>
      </w:r>
      <w:r w:rsidR="00385060">
        <w:rPr>
          <w:rFonts w:ascii="Century" w:hAnsi="Century"/>
        </w:rPr>
        <w:t>:</w:t>
      </w:r>
    </w:p>
    <w:p w14:paraId="06D11EEE" w14:textId="61D7815D" w:rsidR="00385060" w:rsidRPr="00385060" w:rsidRDefault="00385060" w:rsidP="00385060">
      <w:pPr>
        <w:ind w:left="1800"/>
        <w:rPr>
          <w:rFonts w:ascii="Century" w:hAnsi="Century"/>
        </w:rPr>
      </w:pPr>
      <w:r>
        <w:rPr>
          <w:rFonts w:ascii="Century" w:hAnsi="Century"/>
        </w:rPr>
        <w:t xml:space="preserve">From 1954-1969, Black land ownership decreased by 53.2% in Virginia from 877,100 acres to 410,674 </w:t>
      </w:r>
      <w:r w:rsidR="00D30DD0">
        <w:rPr>
          <w:rFonts w:ascii="Century" w:hAnsi="Century"/>
        </w:rPr>
        <w:t>acres.</w:t>
      </w:r>
    </w:p>
    <w:p w14:paraId="7608D77C" w14:textId="40BE97EB" w:rsidR="001A5697" w:rsidRDefault="001A5697" w:rsidP="001A5697">
      <w:pPr>
        <w:ind w:left="1800"/>
        <w:rPr>
          <w:rFonts w:ascii="Century" w:hAnsi="Century"/>
        </w:rPr>
      </w:pPr>
    </w:p>
    <w:p w14:paraId="6AD6E8E9" w14:textId="51B22AFB" w:rsidR="00C30C72" w:rsidRDefault="00C30C72" w:rsidP="001A5697">
      <w:pPr>
        <w:ind w:left="1800"/>
        <w:rPr>
          <w:rFonts w:ascii="Century" w:hAnsi="Century"/>
        </w:rPr>
      </w:pPr>
    </w:p>
    <w:p w14:paraId="3B27AE3C" w14:textId="7C53FF79" w:rsidR="00C30C72" w:rsidRDefault="00C30C72" w:rsidP="001A5697">
      <w:pPr>
        <w:ind w:left="1800"/>
        <w:rPr>
          <w:rFonts w:ascii="Century" w:hAnsi="Century"/>
        </w:rPr>
      </w:pPr>
    </w:p>
    <w:p w14:paraId="3D7CB054" w14:textId="73856B97" w:rsidR="00C30C72" w:rsidRDefault="00C30C72" w:rsidP="001A5697">
      <w:pPr>
        <w:ind w:left="1800"/>
        <w:rPr>
          <w:rFonts w:ascii="Century" w:hAnsi="Century"/>
        </w:rPr>
      </w:pPr>
    </w:p>
    <w:p w14:paraId="607D8154" w14:textId="49D76EEC" w:rsidR="00C30C72" w:rsidRDefault="00C30C72" w:rsidP="001A5697">
      <w:pPr>
        <w:ind w:left="1800"/>
        <w:rPr>
          <w:rFonts w:ascii="Century" w:hAnsi="Century"/>
        </w:rPr>
      </w:pPr>
    </w:p>
    <w:p w14:paraId="68C733CA" w14:textId="3D1AC757" w:rsidR="00C30C72" w:rsidRDefault="00C30C72" w:rsidP="001A5697">
      <w:pPr>
        <w:ind w:left="1800"/>
        <w:rPr>
          <w:rFonts w:ascii="Century" w:hAnsi="Century"/>
        </w:rPr>
      </w:pPr>
    </w:p>
    <w:p w14:paraId="475E3137" w14:textId="0392F84E" w:rsidR="00C30C72" w:rsidRDefault="00C30C72" w:rsidP="001A5697">
      <w:pPr>
        <w:ind w:left="1800"/>
        <w:rPr>
          <w:rFonts w:ascii="Century" w:hAnsi="Century"/>
        </w:rPr>
      </w:pPr>
    </w:p>
    <w:p w14:paraId="384C7C56" w14:textId="77777777" w:rsidR="00C30C72" w:rsidRPr="001A5697" w:rsidRDefault="00C30C72" w:rsidP="001A5697">
      <w:pPr>
        <w:ind w:left="1800"/>
        <w:rPr>
          <w:rFonts w:ascii="Century" w:hAnsi="Century"/>
        </w:rPr>
      </w:pPr>
    </w:p>
    <w:p w14:paraId="269860F0" w14:textId="7D6C59D1" w:rsidR="000A0E2D" w:rsidRDefault="000A0E2D" w:rsidP="004F171E">
      <w:pPr>
        <w:rPr>
          <w:rFonts w:ascii="Century" w:hAnsi="Century"/>
        </w:rPr>
      </w:pPr>
      <w:r>
        <w:rPr>
          <w:rFonts w:ascii="Century" w:hAnsi="Century"/>
        </w:rPr>
        <w:lastRenderedPageBreak/>
        <w:t>III.</w:t>
      </w:r>
      <w:r>
        <w:rPr>
          <w:rFonts w:ascii="Century" w:hAnsi="Century"/>
        </w:rPr>
        <w:tab/>
        <w:t>FACTORS CONTRIBUTING TO BLACK LAND LOSS</w:t>
      </w:r>
      <w:r w:rsidR="001C5F38">
        <w:rPr>
          <w:rStyle w:val="FootnoteReference"/>
          <w:rFonts w:ascii="Century" w:hAnsi="Century"/>
        </w:rPr>
        <w:footnoteReference w:id="3"/>
      </w:r>
    </w:p>
    <w:p w14:paraId="24E64727" w14:textId="07150191" w:rsidR="000A0E2D" w:rsidRDefault="000A0E2D" w:rsidP="004F171E">
      <w:pPr>
        <w:rPr>
          <w:rFonts w:ascii="Century" w:hAnsi="Century"/>
        </w:rPr>
      </w:pPr>
      <w:r>
        <w:rPr>
          <w:rFonts w:ascii="Century" w:hAnsi="Century"/>
        </w:rPr>
        <w:tab/>
        <w:t>A.</w:t>
      </w:r>
      <w:r>
        <w:rPr>
          <w:rFonts w:ascii="Century" w:hAnsi="Century"/>
        </w:rPr>
        <w:tab/>
      </w:r>
      <w:r w:rsidR="00707A47">
        <w:rPr>
          <w:rFonts w:ascii="Century" w:hAnsi="Century"/>
        </w:rPr>
        <w:t xml:space="preserve">The rise of White supremacy and legalized segregation </w:t>
      </w:r>
    </w:p>
    <w:p w14:paraId="4F805E74" w14:textId="5F268105" w:rsidR="000A0E2D" w:rsidRDefault="000A0E2D" w:rsidP="004F171E">
      <w:pPr>
        <w:rPr>
          <w:rFonts w:ascii="Century" w:hAnsi="Century"/>
        </w:rPr>
      </w:pPr>
      <w:r>
        <w:rPr>
          <w:rFonts w:ascii="Century" w:hAnsi="Century"/>
        </w:rPr>
        <w:tab/>
        <w:t>B.</w:t>
      </w:r>
      <w:r>
        <w:rPr>
          <w:rFonts w:ascii="Century" w:hAnsi="Century"/>
        </w:rPr>
        <w:tab/>
      </w:r>
      <w:r w:rsidR="00707A47">
        <w:rPr>
          <w:rFonts w:ascii="Century" w:hAnsi="Century"/>
        </w:rPr>
        <w:t xml:space="preserve">The </w:t>
      </w:r>
      <w:r w:rsidR="007F7F4C">
        <w:rPr>
          <w:rFonts w:ascii="Century" w:hAnsi="Century"/>
        </w:rPr>
        <w:t>B</w:t>
      </w:r>
      <w:r w:rsidR="00707A47">
        <w:rPr>
          <w:rFonts w:ascii="Century" w:hAnsi="Century"/>
        </w:rPr>
        <w:t xml:space="preserve">oll weevil’s destruction of cotton crops in the South </w:t>
      </w:r>
    </w:p>
    <w:p w14:paraId="55CD755C" w14:textId="1139EE77" w:rsidR="000A0E2D" w:rsidRDefault="000A0E2D" w:rsidP="004F171E">
      <w:pPr>
        <w:rPr>
          <w:rFonts w:ascii="Century" w:hAnsi="Century"/>
        </w:rPr>
      </w:pPr>
      <w:r>
        <w:rPr>
          <w:rFonts w:ascii="Century" w:hAnsi="Century"/>
        </w:rPr>
        <w:tab/>
        <w:t>C.</w:t>
      </w:r>
      <w:r>
        <w:rPr>
          <w:rFonts w:ascii="Century" w:hAnsi="Century"/>
        </w:rPr>
        <w:tab/>
        <w:t>The Great Migration</w:t>
      </w:r>
    </w:p>
    <w:p w14:paraId="767DFDCE" w14:textId="63160AAD" w:rsidR="001C5F38" w:rsidRDefault="001C5F38" w:rsidP="004F171E">
      <w:pPr>
        <w:rPr>
          <w:rFonts w:ascii="Century" w:hAnsi="Century"/>
        </w:rPr>
      </w:pPr>
      <w:r>
        <w:rPr>
          <w:rFonts w:ascii="Century" w:hAnsi="Century"/>
        </w:rPr>
        <w:tab/>
        <w:t xml:space="preserve">D. </w:t>
      </w:r>
      <w:r>
        <w:rPr>
          <w:rFonts w:ascii="Century" w:hAnsi="Century"/>
        </w:rPr>
        <w:tab/>
        <w:t xml:space="preserve">Racist policies in </w:t>
      </w:r>
      <w:r w:rsidR="00697E30">
        <w:rPr>
          <w:rFonts w:ascii="Century" w:hAnsi="Century"/>
        </w:rPr>
        <w:t xml:space="preserve">state and </w:t>
      </w:r>
      <w:r>
        <w:rPr>
          <w:rFonts w:ascii="Century" w:hAnsi="Century"/>
        </w:rPr>
        <w:t>federal agencies</w:t>
      </w:r>
      <w:r w:rsidR="00697E30">
        <w:rPr>
          <w:rFonts w:ascii="Century" w:hAnsi="Century"/>
        </w:rPr>
        <w:t xml:space="preserve">- 1997 lawsuits </w:t>
      </w:r>
      <w:r w:rsidR="00697E30" w:rsidRPr="00697E30">
        <w:rPr>
          <w:rFonts w:ascii="Century" w:hAnsi="Century"/>
          <w:i/>
          <w:iCs/>
        </w:rPr>
        <w:t xml:space="preserve">Pigford v. </w:t>
      </w:r>
      <w:r w:rsidR="00697E30">
        <w:rPr>
          <w:rFonts w:ascii="Century" w:hAnsi="Century"/>
          <w:i/>
          <w:iCs/>
        </w:rPr>
        <w:tab/>
      </w:r>
      <w:r w:rsidR="00697E30">
        <w:rPr>
          <w:rFonts w:ascii="Century" w:hAnsi="Century"/>
          <w:i/>
          <w:iCs/>
        </w:rPr>
        <w:tab/>
      </w:r>
      <w:r w:rsidR="00697E30">
        <w:rPr>
          <w:rFonts w:ascii="Century" w:hAnsi="Century"/>
          <w:i/>
          <w:iCs/>
        </w:rPr>
        <w:tab/>
      </w:r>
      <w:r w:rsidR="00697E30">
        <w:rPr>
          <w:rFonts w:ascii="Century" w:hAnsi="Century"/>
          <w:i/>
          <w:iCs/>
        </w:rPr>
        <w:tab/>
      </w:r>
      <w:r w:rsidR="00697E30" w:rsidRPr="00697E30">
        <w:rPr>
          <w:rFonts w:ascii="Century" w:hAnsi="Century"/>
          <w:i/>
          <w:iCs/>
        </w:rPr>
        <w:t>Glickman</w:t>
      </w:r>
    </w:p>
    <w:p w14:paraId="6C352156" w14:textId="715E69CF" w:rsidR="001C5F38" w:rsidRDefault="001C5F38" w:rsidP="004F171E">
      <w:pPr>
        <w:rPr>
          <w:rFonts w:ascii="Century" w:hAnsi="Century"/>
        </w:rPr>
      </w:pPr>
      <w:r>
        <w:rPr>
          <w:rFonts w:ascii="Century" w:hAnsi="Century"/>
        </w:rPr>
        <w:tab/>
        <w:t xml:space="preserve">E. </w:t>
      </w:r>
      <w:r>
        <w:rPr>
          <w:rFonts w:ascii="Century" w:hAnsi="Century"/>
        </w:rPr>
        <w:tab/>
      </w:r>
      <w:r w:rsidR="007F7F4C">
        <w:rPr>
          <w:rFonts w:ascii="Century" w:hAnsi="Century"/>
        </w:rPr>
        <w:t>C</w:t>
      </w:r>
      <w:r>
        <w:rPr>
          <w:rFonts w:ascii="Century" w:hAnsi="Century"/>
        </w:rPr>
        <w:t xml:space="preserve">ommercial and residential </w:t>
      </w:r>
      <w:r w:rsidR="007F7F4C">
        <w:rPr>
          <w:rFonts w:ascii="Century" w:hAnsi="Century"/>
        </w:rPr>
        <w:t>r</w:t>
      </w:r>
      <w:r w:rsidR="007F7F4C">
        <w:rPr>
          <w:rFonts w:ascii="Century" w:hAnsi="Century"/>
        </w:rPr>
        <w:t xml:space="preserve">eal estate </w:t>
      </w:r>
      <w:r>
        <w:rPr>
          <w:rFonts w:ascii="Century" w:hAnsi="Century"/>
        </w:rPr>
        <w:t>development</w:t>
      </w:r>
    </w:p>
    <w:p w14:paraId="25846717" w14:textId="54757349" w:rsidR="00380215" w:rsidRDefault="00380215" w:rsidP="004F171E">
      <w:pPr>
        <w:rPr>
          <w:rFonts w:ascii="Century" w:hAnsi="Century"/>
        </w:rPr>
      </w:pPr>
      <w:r>
        <w:rPr>
          <w:rFonts w:ascii="Century" w:hAnsi="Century"/>
        </w:rPr>
        <w:tab/>
        <w:t>F.</w:t>
      </w:r>
      <w:r>
        <w:rPr>
          <w:rFonts w:ascii="Century" w:hAnsi="Century"/>
        </w:rPr>
        <w:tab/>
        <w:t>Heirs’ Property</w:t>
      </w:r>
    </w:p>
    <w:p w14:paraId="38D49C4D" w14:textId="4F7CF536" w:rsidR="006321BC" w:rsidRDefault="006321BC" w:rsidP="004F171E">
      <w:pPr>
        <w:rPr>
          <w:rFonts w:ascii="Century" w:hAnsi="Century"/>
        </w:rPr>
      </w:pPr>
    </w:p>
    <w:p w14:paraId="5B5D2F5C" w14:textId="32451E47" w:rsidR="0034551B" w:rsidRDefault="006321BC" w:rsidP="006321BC">
      <w:pPr>
        <w:rPr>
          <w:rFonts w:ascii="Century" w:hAnsi="Century"/>
        </w:rPr>
      </w:pPr>
      <w:r>
        <w:rPr>
          <w:rFonts w:ascii="Century" w:hAnsi="Century"/>
        </w:rPr>
        <w:t>IV.</w:t>
      </w:r>
      <w:r>
        <w:rPr>
          <w:rFonts w:ascii="Century" w:hAnsi="Century"/>
        </w:rPr>
        <w:tab/>
        <w:t>HEIRS PROPERTY</w:t>
      </w:r>
      <w:r w:rsidR="0034551B">
        <w:rPr>
          <w:rFonts w:ascii="Century" w:hAnsi="Century"/>
        </w:rPr>
        <w:t xml:space="preserve"> - CHARACTERISTICS</w:t>
      </w:r>
    </w:p>
    <w:p w14:paraId="3C501364" w14:textId="0924D64E" w:rsidR="006321BC" w:rsidRDefault="006321BC" w:rsidP="006321BC">
      <w:pPr>
        <w:rPr>
          <w:rFonts w:ascii="Century" w:hAnsi="Century"/>
        </w:rPr>
      </w:pPr>
      <w:r>
        <w:rPr>
          <w:rFonts w:ascii="Century" w:hAnsi="Century"/>
        </w:rPr>
        <w:tab/>
      </w:r>
      <w:r w:rsidR="0034551B">
        <w:rPr>
          <w:rFonts w:ascii="Century" w:hAnsi="Century"/>
        </w:rPr>
        <w:t>A.</w:t>
      </w:r>
      <w:r w:rsidR="0034551B">
        <w:rPr>
          <w:rFonts w:ascii="Century" w:hAnsi="Century"/>
        </w:rPr>
        <w:tab/>
        <w:t>A term u</w:t>
      </w:r>
      <w:r w:rsidR="00D322F2">
        <w:rPr>
          <w:rFonts w:ascii="Century" w:hAnsi="Century"/>
        </w:rPr>
        <w:t xml:space="preserve">sed to describe a type </w:t>
      </w:r>
      <w:r w:rsidR="00DA7675">
        <w:rPr>
          <w:rFonts w:ascii="Century" w:hAnsi="Century"/>
        </w:rPr>
        <w:t xml:space="preserve">of land ownership </w:t>
      </w:r>
      <w:r w:rsidR="00D322F2">
        <w:rPr>
          <w:rFonts w:ascii="Century" w:hAnsi="Century"/>
        </w:rPr>
        <w:t xml:space="preserve">resulting </w:t>
      </w:r>
      <w:r>
        <w:rPr>
          <w:rFonts w:ascii="Century" w:hAnsi="Century"/>
        </w:rPr>
        <w:tab/>
      </w:r>
      <w:r>
        <w:rPr>
          <w:rFonts w:ascii="Century" w:hAnsi="Century"/>
        </w:rPr>
        <w:tab/>
      </w:r>
      <w:r>
        <w:rPr>
          <w:rFonts w:ascii="Century" w:hAnsi="Century"/>
        </w:rPr>
        <w:tab/>
      </w:r>
      <w:r w:rsidR="0034551B">
        <w:rPr>
          <w:rFonts w:ascii="Century" w:hAnsi="Century"/>
        </w:rPr>
        <w:tab/>
      </w:r>
      <w:r w:rsidR="0034551B">
        <w:rPr>
          <w:rFonts w:ascii="Century" w:hAnsi="Century"/>
        </w:rPr>
        <w:tab/>
      </w:r>
      <w:r w:rsidR="00D322F2">
        <w:rPr>
          <w:rFonts w:ascii="Century" w:hAnsi="Century"/>
        </w:rPr>
        <w:t xml:space="preserve">from property passing without the benefit of a will </w:t>
      </w:r>
      <w:r w:rsidR="0034551B">
        <w:rPr>
          <w:rFonts w:ascii="Century" w:hAnsi="Century"/>
        </w:rPr>
        <w:t xml:space="preserve">where descendants share </w:t>
      </w:r>
      <w:r w:rsidR="0034551B">
        <w:rPr>
          <w:rFonts w:ascii="Century" w:hAnsi="Century"/>
        </w:rPr>
        <w:tab/>
      </w:r>
      <w:r w:rsidR="0034551B">
        <w:rPr>
          <w:rFonts w:ascii="Century" w:hAnsi="Century"/>
        </w:rPr>
        <w:tab/>
      </w:r>
      <w:r w:rsidR="0034551B">
        <w:rPr>
          <w:rFonts w:ascii="Century" w:hAnsi="Century"/>
        </w:rPr>
        <w:tab/>
        <w:t>a claim to the estate</w:t>
      </w:r>
    </w:p>
    <w:p w14:paraId="2575B953" w14:textId="43C96823" w:rsidR="006321BC" w:rsidRDefault="006321BC" w:rsidP="006321BC">
      <w:pPr>
        <w:rPr>
          <w:rFonts w:ascii="Century" w:hAnsi="Century"/>
        </w:rPr>
      </w:pPr>
      <w:r>
        <w:rPr>
          <w:rFonts w:ascii="Century" w:hAnsi="Century"/>
        </w:rPr>
        <w:tab/>
        <w:t>B.</w:t>
      </w:r>
      <w:r>
        <w:rPr>
          <w:rFonts w:ascii="Century" w:hAnsi="Century"/>
        </w:rPr>
        <w:tab/>
      </w:r>
      <w:r w:rsidR="0034551B">
        <w:rPr>
          <w:rFonts w:ascii="Century" w:hAnsi="Century"/>
        </w:rPr>
        <w:t>Two or more owners and p</w:t>
      </w:r>
      <w:r w:rsidR="00D322F2">
        <w:rPr>
          <w:rFonts w:ascii="Century" w:hAnsi="Century"/>
        </w:rPr>
        <w:t xml:space="preserve">roperty </w:t>
      </w:r>
      <w:r w:rsidR="0034551B">
        <w:rPr>
          <w:rFonts w:ascii="Century" w:hAnsi="Century"/>
        </w:rPr>
        <w:t xml:space="preserve">is </w:t>
      </w:r>
      <w:r w:rsidR="00D322F2">
        <w:rPr>
          <w:rFonts w:ascii="Century" w:hAnsi="Century"/>
        </w:rPr>
        <w:t>held as tenants in common</w:t>
      </w:r>
    </w:p>
    <w:p w14:paraId="2BF029BE" w14:textId="171B41AB" w:rsidR="000C0A19" w:rsidRDefault="006321BC" w:rsidP="006321BC">
      <w:pPr>
        <w:rPr>
          <w:rFonts w:ascii="Century" w:hAnsi="Century"/>
        </w:rPr>
      </w:pPr>
      <w:r>
        <w:rPr>
          <w:rFonts w:ascii="Century" w:hAnsi="Century"/>
        </w:rPr>
        <w:tab/>
        <w:t>C.</w:t>
      </w:r>
      <w:r>
        <w:rPr>
          <w:rFonts w:ascii="Century" w:hAnsi="Century"/>
        </w:rPr>
        <w:tab/>
      </w:r>
      <w:r w:rsidR="00D322F2">
        <w:rPr>
          <w:rFonts w:ascii="Century" w:hAnsi="Century"/>
        </w:rPr>
        <w:t xml:space="preserve">No rights of survivorship- when a co-tenant passes away, their fractional </w:t>
      </w:r>
      <w:r>
        <w:rPr>
          <w:rFonts w:ascii="Century" w:hAnsi="Century"/>
        </w:rPr>
        <w:tab/>
      </w:r>
      <w:r>
        <w:rPr>
          <w:rFonts w:ascii="Century" w:hAnsi="Century"/>
        </w:rPr>
        <w:tab/>
      </w:r>
      <w:r>
        <w:rPr>
          <w:rFonts w:ascii="Century" w:hAnsi="Century"/>
        </w:rPr>
        <w:tab/>
      </w:r>
      <w:r w:rsidR="00D322F2">
        <w:rPr>
          <w:rFonts w:ascii="Century" w:hAnsi="Century"/>
        </w:rPr>
        <w:t>interest passes to their heirs</w:t>
      </w:r>
    </w:p>
    <w:p w14:paraId="30D1E300" w14:textId="1344D191" w:rsidR="0036142A" w:rsidRDefault="006321BC" w:rsidP="006321BC">
      <w:pPr>
        <w:rPr>
          <w:rFonts w:ascii="Century" w:hAnsi="Century"/>
        </w:rPr>
      </w:pPr>
      <w:r>
        <w:rPr>
          <w:rFonts w:ascii="Century" w:hAnsi="Century"/>
        </w:rPr>
        <w:tab/>
        <w:t>D.</w:t>
      </w:r>
      <w:r w:rsidR="0034551B">
        <w:rPr>
          <w:rFonts w:ascii="Century" w:hAnsi="Century"/>
        </w:rPr>
        <w:tab/>
        <w:t>The more owners you have, the bigger the problem</w:t>
      </w:r>
    </w:p>
    <w:p w14:paraId="6070BE53" w14:textId="77777777" w:rsidR="0034551B" w:rsidRDefault="0034551B" w:rsidP="00D77BF1">
      <w:pPr>
        <w:rPr>
          <w:rFonts w:ascii="Century" w:hAnsi="Century"/>
        </w:rPr>
      </w:pPr>
    </w:p>
    <w:p w14:paraId="3658E5E4" w14:textId="1871533D" w:rsidR="000F7A1A" w:rsidRDefault="00C30C72" w:rsidP="000F7A1A">
      <w:pPr>
        <w:rPr>
          <w:rFonts w:ascii="Century" w:hAnsi="Century"/>
        </w:rPr>
      </w:pPr>
      <w:r>
        <w:rPr>
          <w:rFonts w:ascii="Century" w:hAnsi="Century"/>
        </w:rPr>
        <w:t>V</w:t>
      </w:r>
      <w:r w:rsidR="00BF6229">
        <w:rPr>
          <w:rFonts w:ascii="Century" w:hAnsi="Century"/>
        </w:rPr>
        <w:t>.</w:t>
      </w:r>
      <w:r w:rsidR="00BF6229">
        <w:rPr>
          <w:rFonts w:ascii="Century" w:hAnsi="Century"/>
        </w:rPr>
        <w:tab/>
      </w:r>
      <w:r w:rsidR="0034551B">
        <w:rPr>
          <w:rFonts w:ascii="Century" w:hAnsi="Century"/>
        </w:rPr>
        <w:t xml:space="preserve">HEIRS PROPERTY </w:t>
      </w:r>
      <w:r w:rsidR="001674C3">
        <w:rPr>
          <w:rFonts w:ascii="Century" w:hAnsi="Century"/>
        </w:rPr>
        <w:t>– VULNERABILITIES</w:t>
      </w:r>
      <w:r w:rsidR="00531654">
        <w:rPr>
          <w:rStyle w:val="FootnoteReference"/>
          <w:rFonts w:ascii="Century" w:hAnsi="Century"/>
        </w:rPr>
        <w:footnoteReference w:id="4"/>
      </w:r>
    </w:p>
    <w:p w14:paraId="2CADC390" w14:textId="13EC5816" w:rsidR="001674C3" w:rsidRDefault="000F7A1A" w:rsidP="001674C3">
      <w:pPr>
        <w:rPr>
          <w:rFonts w:ascii="Century" w:hAnsi="Century"/>
        </w:rPr>
      </w:pPr>
      <w:r>
        <w:rPr>
          <w:rFonts w:ascii="Century" w:hAnsi="Century"/>
        </w:rPr>
        <w:tab/>
        <w:t>A.</w:t>
      </w:r>
      <w:r>
        <w:rPr>
          <w:rFonts w:ascii="Century" w:hAnsi="Century"/>
        </w:rPr>
        <w:tab/>
      </w:r>
      <w:r w:rsidR="001674C3">
        <w:rPr>
          <w:rFonts w:ascii="Century" w:hAnsi="Century"/>
        </w:rPr>
        <w:t xml:space="preserve">Ineligible for federal programs and assistance, including FEMA grants and </w:t>
      </w:r>
      <w:r w:rsidR="00C30C72">
        <w:rPr>
          <w:rFonts w:ascii="Century" w:hAnsi="Century"/>
        </w:rPr>
        <w:tab/>
      </w:r>
      <w:r w:rsidR="00C30C72">
        <w:rPr>
          <w:rFonts w:ascii="Century" w:hAnsi="Century"/>
        </w:rPr>
        <w:tab/>
      </w:r>
      <w:r w:rsidR="00C30C72">
        <w:rPr>
          <w:rFonts w:ascii="Century" w:hAnsi="Century"/>
        </w:rPr>
        <w:tab/>
      </w:r>
      <w:r w:rsidR="001674C3">
        <w:rPr>
          <w:rFonts w:ascii="Century" w:hAnsi="Century"/>
        </w:rPr>
        <w:t>USDA programs</w:t>
      </w:r>
    </w:p>
    <w:p w14:paraId="21343964" w14:textId="5B2B4FDF" w:rsidR="001674C3" w:rsidRDefault="00C30C72" w:rsidP="001674C3">
      <w:pPr>
        <w:rPr>
          <w:rFonts w:ascii="Century" w:hAnsi="Century"/>
        </w:rPr>
      </w:pPr>
      <w:r>
        <w:rPr>
          <w:rFonts w:ascii="Century" w:hAnsi="Century"/>
        </w:rPr>
        <w:tab/>
        <w:t>B.</w:t>
      </w:r>
      <w:r>
        <w:rPr>
          <w:rFonts w:ascii="Century" w:hAnsi="Century"/>
        </w:rPr>
        <w:tab/>
      </w:r>
      <w:r w:rsidR="001674C3">
        <w:rPr>
          <w:rFonts w:ascii="Century" w:hAnsi="Century"/>
        </w:rPr>
        <w:t>Unavailable for use as collateral for a loan or mortgage</w:t>
      </w:r>
    </w:p>
    <w:p w14:paraId="6B8A6F24" w14:textId="6487545E" w:rsidR="001674C3" w:rsidRDefault="00C30C72" w:rsidP="001674C3">
      <w:pPr>
        <w:rPr>
          <w:rFonts w:ascii="Century" w:hAnsi="Century"/>
        </w:rPr>
      </w:pPr>
      <w:r>
        <w:rPr>
          <w:rFonts w:ascii="Century" w:hAnsi="Century"/>
        </w:rPr>
        <w:tab/>
        <w:t>C.</w:t>
      </w:r>
      <w:r>
        <w:rPr>
          <w:rFonts w:ascii="Century" w:hAnsi="Century"/>
        </w:rPr>
        <w:tab/>
      </w:r>
      <w:r w:rsidR="001674C3">
        <w:rPr>
          <w:rFonts w:ascii="Century" w:hAnsi="Century"/>
        </w:rPr>
        <w:t>Less likely to have access to public utilities</w:t>
      </w:r>
    </w:p>
    <w:p w14:paraId="38D6B2A9" w14:textId="07F74F21" w:rsidR="001674C3" w:rsidRDefault="00C30C72" w:rsidP="001674C3">
      <w:pPr>
        <w:rPr>
          <w:rFonts w:ascii="Century" w:hAnsi="Century"/>
        </w:rPr>
      </w:pPr>
      <w:r>
        <w:rPr>
          <w:rFonts w:ascii="Century" w:hAnsi="Century"/>
        </w:rPr>
        <w:tab/>
        <w:t xml:space="preserve">D. </w:t>
      </w:r>
      <w:r>
        <w:rPr>
          <w:rFonts w:ascii="Century" w:hAnsi="Century"/>
        </w:rPr>
        <w:tab/>
      </w:r>
      <w:r w:rsidR="001674C3">
        <w:rPr>
          <w:rFonts w:ascii="Century" w:hAnsi="Century"/>
        </w:rPr>
        <w:t>More susceptible to loss due to tax sales</w:t>
      </w:r>
    </w:p>
    <w:p w14:paraId="1F90DD88" w14:textId="5B094D54" w:rsidR="001674C3" w:rsidRDefault="00C30C72" w:rsidP="001674C3">
      <w:pPr>
        <w:rPr>
          <w:rFonts w:ascii="Century" w:hAnsi="Century"/>
        </w:rPr>
      </w:pPr>
      <w:r>
        <w:rPr>
          <w:rFonts w:ascii="Century" w:hAnsi="Century"/>
        </w:rPr>
        <w:tab/>
        <w:t>E.</w:t>
      </w:r>
      <w:r>
        <w:rPr>
          <w:rFonts w:ascii="Century" w:hAnsi="Century"/>
        </w:rPr>
        <w:tab/>
        <w:t xml:space="preserve">Vulnerable </w:t>
      </w:r>
      <w:r w:rsidR="001674C3">
        <w:rPr>
          <w:rFonts w:ascii="Century" w:hAnsi="Century"/>
        </w:rPr>
        <w:t>to forced partition sales- one of the biggest threats to ownership</w:t>
      </w:r>
    </w:p>
    <w:p w14:paraId="3255AD5A" w14:textId="377DF4F3" w:rsidR="00C30C72" w:rsidRDefault="00C30C72" w:rsidP="00C30C72">
      <w:pPr>
        <w:rPr>
          <w:rFonts w:ascii="Century" w:hAnsi="Century"/>
        </w:rPr>
      </w:pPr>
      <w:r>
        <w:rPr>
          <w:rFonts w:ascii="Century" w:hAnsi="Century"/>
        </w:rPr>
        <w:tab/>
      </w:r>
    </w:p>
    <w:p w14:paraId="1AF9526D" w14:textId="4B631F54" w:rsidR="000F7A1A" w:rsidRDefault="000F7A1A" w:rsidP="000F7A1A">
      <w:pPr>
        <w:rPr>
          <w:rFonts w:ascii="Century" w:hAnsi="Century"/>
        </w:rPr>
      </w:pPr>
    </w:p>
    <w:p w14:paraId="2643934A" w14:textId="69DBE2BB" w:rsidR="000F7A1A" w:rsidRDefault="000F7A1A" w:rsidP="000F7A1A">
      <w:pPr>
        <w:rPr>
          <w:rFonts w:ascii="Century" w:hAnsi="Century"/>
        </w:rPr>
      </w:pPr>
    </w:p>
    <w:p w14:paraId="5E382D74" w14:textId="77777777" w:rsidR="000F7A1A" w:rsidRDefault="000F7A1A" w:rsidP="000F7A1A">
      <w:pPr>
        <w:rPr>
          <w:rFonts w:ascii="Century" w:hAnsi="Century"/>
        </w:rPr>
      </w:pPr>
    </w:p>
    <w:p w14:paraId="12EFD55F" w14:textId="15822043" w:rsidR="00531654" w:rsidRDefault="00531654" w:rsidP="00531654">
      <w:pPr>
        <w:rPr>
          <w:rFonts w:ascii="Century" w:hAnsi="Century"/>
        </w:rPr>
      </w:pPr>
      <w:r>
        <w:rPr>
          <w:rFonts w:ascii="Century" w:hAnsi="Century"/>
        </w:rPr>
        <w:t>VI.</w:t>
      </w:r>
      <w:r>
        <w:rPr>
          <w:rFonts w:ascii="Century" w:hAnsi="Century"/>
        </w:rPr>
        <w:tab/>
        <w:t>PARTITION SUITS</w:t>
      </w:r>
    </w:p>
    <w:p w14:paraId="7E7561A2" w14:textId="77777777" w:rsidR="00531654" w:rsidRDefault="00531654" w:rsidP="00531654">
      <w:pPr>
        <w:rPr>
          <w:rFonts w:ascii="Century" w:hAnsi="Century"/>
        </w:rPr>
      </w:pPr>
      <w:r>
        <w:rPr>
          <w:rFonts w:ascii="Century" w:hAnsi="Century"/>
        </w:rPr>
        <w:tab/>
        <w:t>A.</w:t>
      </w:r>
      <w:r>
        <w:rPr>
          <w:rFonts w:ascii="Century" w:hAnsi="Century"/>
        </w:rPr>
        <w:tab/>
      </w:r>
      <w:r w:rsidR="0036142A">
        <w:rPr>
          <w:rFonts w:ascii="Century" w:hAnsi="Century"/>
        </w:rPr>
        <w:t xml:space="preserve"> </w:t>
      </w:r>
      <w:r w:rsidR="000F7A1A">
        <w:rPr>
          <w:rFonts w:ascii="Century" w:hAnsi="Century"/>
        </w:rPr>
        <w:t>All it takes is one of the owners to file suit</w:t>
      </w:r>
      <w:r>
        <w:rPr>
          <w:rFonts w:ascii="Century" w:hAnsi="Century"/>
        </w:rPr>
        <w:t xml:space="preserve"> to force the sale of the property</w:t>
      </w:r>
    </w:p>
    <w:p w14:paraId="2FF25131" w14:textId="77777777" w:rsidR="00531654" w:rsidRDefault="00531654" w:rsidP="00531654">
      <w:pPr>
        <w:rPr>
          <w:rFonts w:ascii="Century" w:hAnsi="Century"/>
        </w:rPr>
      </w:pPr>
      <w:r>
        <w:rPr>
          <w:rFonts w:ascii="Century" w:hAnsi="Century"/>
        </w:rPr>
        <w:tab/>
        <w:t>B.</w:t>
      </w:r>
      <w:r>
        <w:rPr>
          <w:rFonts w:ascii="Century" w:hAnsi="Century"/>
        </w:rPr>
        <w:tab/>
      </w:r>
      <w:r w:rsidR="000F7A1A">
        <w:rPr>
          <w:rFonts w:ascii="Century" w:hAnsi="Century"/>
        </w:rPr>
        <w:t xml:space="preserve">One of the owners could sell their interest to a third party, who can then file </w:t>
      </w:r>
      <w:r>
        <w:rPr>
          <w:rFonts w:ascii="Century" w:hAnsi="Century"/>
        </w:rPr>
        <w:tab/>
      </w:r>
      <w:r>
        <w:rPr>
          <w:rFonts w:ascii="Century" w:hAnsi="Century"/>
        </w:rPr>
        <w:tab/>
      </w:r>
      <w:r>
        <w:rPr>
          <w:rFonts w:ascii="Century" w:hAnsi="Century"/>
        </w:rPr>
        <w:tab/>
      </w:r>
      <w:r w:rsidR="000F7A1A">
        <w:rPr>
          <w:rFonts w:ascii="Century" w:hAnsi="Century"/>
        </w:rPr>
        <w:t>suit</w:t>
      </w:r>
    </w:p>
    <w:p w14:paraId="1FABF437" w14:textId="4AC4B725" w:rsidR="000F7A1A" w:rsidRDefault="00531654" w:rsidP="00531654">
      <w:pPr>
        <w:rPr>
          <w:rFonts w:ascii="Century" w:hAnsi="Century"/>
        </w:rPr>
      </w:pPr>
      <w:r>
        <w:rPr>
          <w:rFonts w:ascii="Century" w:hAnsi="Century"/>
        </w:rPr>
        <w:tab/>
        <w:t>C.</w:t>
      </w:r>
      <w:r>
        <w:rPr>
          <w:rFonts w:ascii="Century" w:hAnsi="Century"/>
        </w:rPr>
        <w:tab/>
      </w:r>
      <w:r w:rsidR="000F7A1A">
        <w:rPr>
          <w:rFonts w:ascii="Century" w:hAnsi="Century"/>
        </w:rPr>
        <w:t xml:space="preserve">The judge can order the property physically divided or sold. Partition sales </w:t>
      </w:r>
      <w:r>
        <w:rPr>
          <w:rFonts w:ascii="Century" w:hAnsi="Century"/>
        </w:rPr>
        <w:tab/>
      </w:r>
      <w:r>
        <w:rPr>
          <w:rFonts w:ascii="Century" w:hAnsi="Century"/>
        </w:rPr>
        <w:tab/>
      </w:r>
      <w:r>
        <w:rPr>
          <w:rFonts w:ascii="Century" w:hAnsi="Century"/>
        </w:rPr>
        <w:tab/>
      </w:r>
      <w:r w:rsidR="000F7A1A">
        <w:rPr>
          <w:rFonts w:ascii="Century" w:hAnsi="Century"/>
        </w:rPr>
        <w:t xml:space="preserve">are more the rule </w:t>
      </w:r>
      <w:r w:rsidR="00D30DD0">
        <w:rPr>
          <w:rFonts w:ascii="Century" w:hAnsi="Century"/>
        </w:rPr>
        <w:t>nowadays.</w:t>
      </w:r>
    </w:p>
    <w:p w14:paraId="7AA41389" w14:textId="77777777" w:rsidR="00F64AB9" w:rsidRPr="00F64AB9" w:rsidRDefault="00F64AB9" w:rsidP="00F64AB9">
      <w:pPr>
        <w:pStyle w:val="ListParagraph"/>
        <w:ind w:left="1440"/>
        <w:rPr>
          <w:rFonts w:ascii="Century" w:hAnsi="Century"/>
        </w:rPr>
      </w:pPr>
    </w:p>
    <w:p w14:paraId="37E4A56D" w14:textId="2A9F719C" w:rsidR="00D77BF1" w:rsidRPr="00D77BF1" w:rsidRDefault="00531654" w:rsidP="00D77BF1">
      <w:pPr>
        <w:rPr>
          <w:rFonts w:ascii="Century" w:hAnsi="Century"/>
        </w:rPr>
      </w:pPr>
      <w:bookmarkStart w:id="0" w:name="_Hlk71832997"/>
      <w:r>
        <w:rPr>
          <w:rFonts w:ascii="Century" w:hAnsi="Century"/>
        </w:rPr>
        <w:t>V</w:t>
      </w:r>
      <w:r w:rsidR="00F64AB9">
        <w:rPr>
          <w:rFonts w:ascii="Century" w:hAnsi="Century"/>
        </w:rPr>
        <w:t>II.</w:t>
      </w:r>
      <w:r w:rsidR="00F64AB9">
        <w:rPr>
          <w:rFonts w:ascii="Century" w:hAnsi="Century"/>
        </w:rPr>
        <w:tab/>
        <w:t>REFORM EFFORTS IN VIRGINIA AND BEYOND</w:t>
      </w:r>
      <w:r w:rsidR="008C4B34">
        <w:rPr>
          <w:rStyle w:val="FootnoteReference"/>
          <w:rFonts w:ascii="Century" w:hAnsi="Century"/>
        </w:rPr>
        <w:footnoteReference w:id="5"/>
      </w:r>
      <w:r w:rsidR="00D77BF1">
        <w:rPr>
          <w:rFonts w:ascii="Century" w:hAnsi="Century"/>
        </w:rPr>
        <w:tab/>
      </w:r>
    </w:p>
    <w:p w14:paraId="34C182AE" w14:textId="3A2D17E9" w:rsidR="00D224BB" w:rsidRDefault="00F64AB9" w:rsidP="003177A3">
      <w:pPr>
        <w:pStyle w:val="ListParagraph"/>
        <w:numPr>
          <w:ilvl w:val="0"/>
          <w:numId w:val="16"/>
        </w:numPr>
        <w:rPr>
          <w:rFonts w:ascii="Century" w:hAnsi="Century"/>
        </w:rPr>
      </w:pPr>
      <w:r w:rsidRPr="00D224BB">
        <w:rPr>
          <w:rFonts w:ascii="Century" w:hAnsi="Century"/>
        </w:rPr>
        <w:t>Uniform Partition of Heirs Property Act (UPHPA)</w:t>
      </w:r>
      <w:r w:rsidR="003177A3" w:rsidRPr="00D224BB">
        <w:rPr>
          <w:rFonts w:ascii="Century" w:hAnsi="Century"/>
        </w:rPr>
        <w:t>-</w:t>
      </w:r>
      <w:r w:rsidR="00D224BB">
        <w:rPr>
          <w:rFonts w:ascii="Century" w:hAnsi="Century"/>
        </w:rPr>
        <w:t xml:space="preserve">developed in 2010 by the Uniform Laws Commission </w:t>
      </w:r>
    </w:p>
    <w:p w14:paraId="120860D7" w14:textId="0689F993" w:rsidR="003177A3" w:rsidRPr="00D224BB" w:rsidRDefault="00D224BB" w:rsidP="003177A3">
      <w:pPr>
        <w:pStyle w:val="ListParagraph"/>
        <w:numPr>
          <w:ilvl w:val="0"/>
          <w:numId w:val="16"/>
        </w:numPr>
        <w:rPr>
          <w:rFonts w:ascii="Century" w:hAnsi="Century"/>
        </w:rPr>
      </w:pPr>
      <w:r>
        <w:rPr>
          <w:rFonts w:ascii="Century" w:hAnsi="Century"/>
        </w:rPr>
        <w:t xml:space="preserve">Has been adopted in many states, including </w:t>
      </w:r>
      <w:r w:rsidR="00D30DD0">
        <w:rPr>
          <w:rFonts w:ascii="Century" w:hAnsi="Century"/>
        </w:rPr>
        <w:t>Virginia.</w:t>
      </w:r>
      <w:r>
        <w:rPr>
          <w:rFonts w:ascii="Century" w:hAnsi="Century"/>
        </w:rPr>
        <w:t xml:space="preserve"> </w:t>
      </w:r>
    </w:p>
    <w:p w14:paraId="118BC34E" w14:textId="0F383612" w:rsidR="001F565B" w:rsidRDefault="001F565B" w:rsidP="003177A3">
      <w:pPr>
        <w:pStyle w:val="ListParagraph"/>
        <w:numPr>
          <w:ilvl w:val="0"/>
          <w:numId w:val="16"/>
        </w:numPr>
        <w:rPr>
          <w:rFonts w:ascii="Century" w:hAnsi="Century"/>
        </w:rPr>
      </w:pPr>
      <w:r>
        <w:rPr>
          <w:rFonts w:ascii="Century" w:hAnsi="Century"/>
        </w:rPr>
        <w:t>Adopted in Virginia in 2020 – SB 553 – Amends Virginia Code Sections 8.01-81 and 8.01-83 and adds new Sections 8.01-81.1, 8.01-83.1, 8.01-83.2, and 8.01-83.3, and repeals Section 8.01-83.3</w:t>
      </w:r>
    </w:p>
    <w:p w14:paraId="35361A1E" w14:textId="6AAF7156" w:rsidR="003177A3" w:rsidRDefault="008C4B34" w:rsidP="003177A3">
      <w:pPr>
        <w:pStyle w:val="ListParagraph"/>
        <w:numPr>
          <w:ilvl w:val="0"/>
          <w:numId w:val="16"/>
        </w:numPr>
        <w:rPr>
          <w:rFonts w:ascii="Century" w:hAnsi="Century"/>
        </w:rPr>
      </w:pPr>
      <w:r>
        <w:rPr>
          <w:rFonts w:ascii="Century" w:hAnsi="Century"/>
        </w:rPr>
        <w:t xml:space="preserve">Virginia’s approach: </w:t>
      </w:r>
      <w:r w:rsidR="001F565B">
        <w:rPr>
          <w:rFonts w:ascii="Century" w:hAnsi="Century"/>
        </w:rPr>
        <w:t>the</w:t>
      </w:r>
      <w:r w:rsidR="00DF4266">
        <w:rPr>
          <w:rFonts w:ascii="Century" w:hAnsi="Century"/>
        </w:rPr>
        <w:t xml:space="preserve"> </w:t>
      </w:r>
      <w:r>
        <w:rPr>
          <w:rFonts w:ascii="Century" w:hAnsi="Century"/>
        </w:rPr>
        <w:t>reforms adopted from the UPHPA</w:t>
      </w:r>
      <w:r w:rsidR="001F565B">
        <w:rPr>
          <w:rFonts w:ascii="Century" w:hAnsi="Century"/>
        </w:rPr>
        <w:t xml:space="preserve"> are</w:t>
      </w:r>
      <w:r>
        <w:rPr>
          <w:rFonts w:ascii="Century" w:hAnsi="Century"/>
        </w:rPr>
        <w:t xml:space="preserve"> applicable to all partition actions, not just heirs </w:t>
      </w:r>
      <w:r w:rsidR="00D30DD0">
        <w:rPr>
          <w:rFonts w:ascii="Century" w:hAnsi="Century"/>
        </w:rPr>
        <w:t>property.</w:t>
      </w:r>
      <w:r>
        <w:rPr>
          <w:rFonts w:ascii="Century" w:hAnsi="Century"/>
        </w:rPr>
        <w:t xml:space="preserve"> </w:t>
      </w:r>
    </w:p>
    <w:p w14:paraId="07C23ED5" w14:textId="289CEC98" w:rsidR="001F565B" w:rsidRDefault="001F565B" w:rsidP="001F565B">
      <w:pPr>
        <w:pStyle w:val="ListParagraph"/>
        <w:ind w:left="1440"/>
        <w:rPr>
          <w:rFonts w:ascii="Century" w:hAnsi="Century"/>
        </w:rPr>
      </w:pPr>
    </w:p>
    <w:bookmarkEnd w:id="0"/>
    <w:p w14:paraId="1F6CA4B4" w14:textId="375DF57C" w:rsidR="008C4B34" w:rsidRDefault="008C4B34" w:rsidP="008C4B34">
      <w:pPr>
        <w:pStyle w:val="ListParagraph"/>
        <w:ind w:left="1440"/>
        <w:rPr>
          <w:rFonts w:ascii="Century" w:hAnsi="Century"/>
        </w:rPr>
      </w:pPr>
    </w:p>
    <w:p w14:paraId="1A925D88" w14:textId="6407189C" w:rsidR="003177A3" w:rsidRDefault="003177A3" w:rsidP="003177A3">
      <w:pPr>
        <w:rPr>
          <w:rFonts w:ascii="Century" w:hAnsi="Century"/>
        </w:rPr>
      </w:pPr>
    </w:p>
    <w:p w14:paraId="7F47FAE6" w14:textId="77777777" w:rsidR="003177A3" w:rsidRPr="003177A3" w:rsidRDefault="003177A3" w:rsidP="003177A3">
      <w:pPr>
        <w:rPr>
          <w:rFonts w:ascii="Century" w:hAnsi="Century"/>
        </w:rPr>
      </w:pPr>
    </w:p>
    <w:p w14:paraId="6E2652DA" w14:textId="77777777" w:rsidR="00D77BF1" w:rsidRDefault="00D77BF1">
      <w:pPr>
        <w:rPr>
          <w:rFonts w:ascii="Century" w:hAnsi="Century"/>
        </w:rPr>
      </w:pPr>
    </w:p>
    <w:p w14:paraId="0FA7668A" w14:textId="367EFE2F" w:rsidR="003B09AD" w:rsidRPr="003B09AD" w:rsidRDefault="00D77BF1">
      <w:pPr>
        <w:rPr>
          <w:rFonts w:ascii="Century" w:hAnsi="Century"/>
        </w:rPr>
      </w:pPr>
      <w:r>
        <w:rPr>
          <w:rFonts w:ascii="Century" w:hAnsi="Century"/>
        </w:rPr>
        <w:t xml:space="preserve"> </w:t>
      </w:r>
    </w:p>
    <w:p w14:paraId="2EE243BA" w14:textId="77777777" w:rsidR="004E7135" w:rsidRDefault="004E7135"/>
    <w:p w14:paraId="4D6805D4" w14:textId="77777777" w:rsidR="004E7135" w:rsidRDefault="004E7135"/>
    <w:sectPr w:rsidR="004E71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5555" w14:textId="77777777" w:rsidR="004F165B" w:rsidRDefault="004F165B" w:rsidP="00A41329">
      <w:pPr>
        <w:spacing w:after="0" w:line="240" w:lineRule="auto"/>
      </w:pPr>
      <w:r>
        <w:separator/>
      </w:r>
    </w:p>
  </w:endnote>
  <w:endnote w:type="continuationSeparator" w:id="0">
    <w:p w14:paraId="19169B96" w14:textId="77777777" w:rsidR="004F165B" w:rsidRDefault="004F165B" w:rsidP="00A4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8896" w14:textId="77777777" w:rsidR="004F165B" w:rsidRDefault="004F165B" w:rsidP="00A41329">
      <w:pPr>
        <w:spacing w:after="0" w:line="240" w:lineRule="auto"/>
      </w:pPr>
      <w:r>
        <w:separator/>
      </w:r>
    </w:p>
  </w:footnote>
  <w:footnote w:type="continuationSeparator" w:id="0">
    <w:p w14:paraId="730E6DBF" w14:textId="77777777" w:rsidR="004F165B" w:rsidRDefault="004F165B" w:rsidP="00A41329">
      <w:pPr>
        <w:spacing w:after="0" w:line="240" w:lineRule="auto"/>
      </w:pPr>
      <w:r>
        <w:continuationSeparator/>
      </w:r>
    </w:p>
  </w:footnote>
  <w:footnote w:id="1">
    <w:p w14:paraId="2D67B8E3" w14:textId="31843BF7" w:rsidR="00A41329" w:rsidRDefault="00A41329">
      <w:pPr>
        <w:pStyle w:val="FootnoteText"/>
      </w:pPr>
      <w:r>
        <w:rPr>
          <w:rStyle w:val="FootnoteReference"/>
        </w:rPr>
        <w:footnoteRef/>
      </w:r>
      <w:r>
        <w:t xml:space="preserve"> Gates, Jr., Henry Louis Gates. “The Truth Behind ’40 Acres and a Mule</w:t>
      </w:r>
      <w:r w:rsidR="000A0E2D">
        <w:t xml:space="preserve">’”, </w:t>
      </w:r>
      <w:hyperlink r:id="rId1" w:history="1">
        <w:r w:rsidR="000A0E2D" w:rsidRPr="00411483">
          <w:rPr>
            <w:rStyle w:val="Hyperlink"/>
            <w:rFonts w:eastAsia="Times New Roman"/>
          </w:rPr>
          <w:t>https://www.pbs.org/wnet/african-americans-many-rivers-to-cross/history/the-truth-behind-40-acres-and-a-mule/</w:t>
        </w:r>
      </w:hyperlink>
      <w:r w:rsidR="000A0E2D">
        <w:rPr>
          <w:rFonts w:eastAsia="Times New Roman"/>
        </w:rPr>
        <w:t>.</w:t>
      </w:r>
    </w:p>
  </w:footnote>
  <w:footnote w:id="2">
    <w:p w14:paraId="2707D98E" w14:textId="089701B7" w:rsidR="000A0E2D" w:rsidRDefault="000A0E2D">
      <w:pPr>
        <w:pStyle w:val="FootnoteText"/>
      </w:pPr>
      <w:r>
        <w:rPr>
          <w:rStyle w:val="FootnoteReference"/>
        </w:rPr>
        <w:footnoteRef/>
      </w:r>
      <w:r>
        <w:t xml:space="preserve"> Kahrl, Andew W. “Heirs Property and African American Land Loss: Historical and Legal Perspectives”</w:t>
      </w:r>
      <w:r w:rsidR="00C30C72">
        <w:t xml:space="preserve"> as presented at the Virginia State Bar Advanced Real Estate Seminar, Williamsburg, Va., March 2020.</w:t>
      </w:r>
    </w:p>
  </w:footnote>
  <w:footnote w:id="3">
    <w:p w14:paraId="56D66E7A" w14:textId="163691D6" w:rsidR="001C5F38" w:rsidRDefault="001C5F38">
      <w:pPr>
        <w:pStyle w:val="FootnoteText"/>
      </w:pPr>
      <w:r>
        <w:rPr>
          <w:rStyle w:val="FootnoteReference"/>
        </w:rPr>
        <w:footnoteRef/>
      </w:r>
      <w:r>
        <w:t xml:space="preserve"> </w:t>
      </w:r>
      <w:r w:rsidR="00D30DD0">
        <w:t>Id; Roberts</w:t>
      </w:r>
      <w:r>
        <w:t xml:space="preserve">, Phillip M., “Boll Weevil,” </w:t>
      </w:r>
      <w:hyperlink r:id="rId2" w:history="1">
        <w:r>
          <w:rPr>
            <w:rStyle w:val="Hyperlink"/>
            <w:rFonts w:eastAsia="Times New Roman"/>
          </w:rPr>
          <w:t>https://m.georgiaencyclopedia.org/articles/business-economy/boll-weevil?amp</w:t>
        </w:r>
      </w:hyperlink>
    </w:p>
  </w:footnote>
  <w:footnote w:id="4">
    <w:p w14:paraId="4E930BF9" w14:textId="488C329B" w:rsidR="00531654" w:rsidRDefault="00531654">
      <w:pPr>
        <w:pStyle w:val="FootnoteText"/>
      </w:pPr>
      <w:r>
        <w:rPr>
          <w:rStyle w:val="FootnoteReference"/>
        </w:rPr>
        <w:footnoteRef/>
      </w:r>
      <w:r>
        <w:t xml:space="preserve"> Id., at Kahrl</w:t>
      </w:r>
    </w:p>
  </w:footnote>
  <w:footnote w:id="5">
    <w:p w14:paraId="41D6462A" w14:textId="5D5B1034" w:rsidR="008C4B34" w:rsidRDefault="008C4B34">
      <w:pPr>
        <w:pStyle w:val="FootnoteText"/>
      </w:pPr>
      <w:r>
        <w:rPr>
          <w:rStyle w:val="FootnoteReference"/>
        </w:rPr>
        <w:footnoteRef/>
      </w:r>
      <w:r>
        <w:t xml:space="preserve"> Gogal, David J. “Virginia’s Approach to the Uniform Partition of Heirs Property Act (UPHPA) as Adopted by the General Assembly in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FA5"/>
    <w:multiLevelType w:val="hybridMultilevel"/>
    <w:tmpl w:val="E1506C06"/>
    <w:lvl w:ilvl="0" w:tplc="5DA63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27B4E"/>
    <w:multiLevelType w:val="hybridMultilevel"/>
    <w:tmpl w:val="12BAD892"/>
    <w:lvl w:ilvl="0" w:tplc="83783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51572"/>
    <w:multiLevelType w:val="hybridMultilevel"/>
    <w:tmpl w:val="FE4ADFC2"/>
    <w:lvl w:ilvl="0" w:tplc="1E5AD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B20637"/>
    <w:multiLevelType w:val="hybridMultilevel"/>
    <w:tmpl w:val="835E4712"/>
    <w:lvl w:ilvl="0" w:tplc="95ECE4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875AFE"/>
    <w:multiLevelType w:val="hybridMultilevel"/>
    <w:tmpl w:val="DB84EC24"/>
    <w:lvl w:ilvl="0" w:tplc="2FC2B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35B5A"/>
    <w:multiLevelType w:val="hybridMultilevel"/>
    <w:tmpl w:val="686EB268"/>
    <w:lvl w:ilvl="0" w:tplc="2C7CDC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01114"/>
    <w:multiLevelType w:val="hybridMultilevel"/>
    <w:tmpl w:val="D3BC79BA"/>
    <w:lvl w:ilvl="0" w:tplc="35D45B4A">
      <w:start w:val="1"/>
      <w:numFmt w:val="decimal"/>
      <w:lvlText w:val="%1."/>
      <w:lvlJc w:val="left"/>
      <w:pPr>
        <w:ind w:left="2160" w:hanging="360"/>
      </w:pPr>
      <w:rPr>
        <w:rFonts w:ascii="Century" w:eastAsiaTheme="minorHAnsi" w:hAnsi="Century"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ABE6A9A"/>
    <w:multiLevelType w:val="hybridMultilevel"/>
    <w:tmpl w:val="D01ECC78"/>
    <w:lvl w:ilvl="0" w:tplc="EB080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255B53"/>
    <w:multiLevelType w:val="hybridMultilevel"/>
    <w:tmpl w:val="C102F8E2"/>
    <w:lvl w:ilvl="0" w:tplc="D93C9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7F191A"/>
    <w:multiLevelType w:val="hybridMultilevel"/>
    <w:tmpl w:val="93F4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4504D"/>
    <w:multiLevelType w:val="hybridMultilevel"/>
    <w:tmpl w:val="E1725496"/>
    <w:lvl w:ilvl="0" w:tplc="9020C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C4768"/>
    <w:multiLevelType w:val="hybridMultilevel"/>
    <w:tmpl w:val="BBFEA65C"/>
    <w:lvl w:ilvl="0" w:tplc="23C6F0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D93CE6"/>
    <w:multiLevelType w:val="hybridMultilevel"/>
    <w:tmpl w:val="5268B8C6"/>
    <w:lvl w:ilvl="0" w:tplc="A07C2C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5C4C10"/>
    <w:multiLevelType w:val="hybridMultilevel"/>
    <w:tmpl w:val="E2183358"/>
    <w:lvl w:ilvl="0" w:tplc="CED8F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B702FC"/>
    <w:multiLevelType w:val="hybridMultilevel"/>
    <w:tmpl w:val="611E457C"/>
    <w:lvl w:ilvl="0" w:tplc="67A23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FD6BEE"/>
    <w:multiLevelType w:val="hybridMultilevel"/>
    <w:tmpl w:val="6EC2A1C8"/>
    <w:lvl w:ilvl="0" w:tplc="F8A0D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7232D"/>
    <w:multiLevelType w:val="hybridMultilevel"/>
    <w:tmpl w:val="3E98B29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E1789E"/>
    <w:multiLevelType w:val="hybridMultilevel"/>
    <w:tmpl w:val="229AF1F0"/>
    <w:lvl w:ilvl="0" w:tplc="DFF435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A84237"/>
    <w:multiLevelType w:val="hybridMultilevel"/>
    <w:tmpl w:val="B58A0BEE"/>
    <w:lvl w:ilvl="0" w:tplc="468CB6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010F25"/>
    <w:multiLevelType w:val="hybridMultilevel"/>
    <w:tmpl w:val="2C7C1E8A"/>
    <w:lvl w:ilvl="0" w:tplc="E51CF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1D6912"/>
    <w:multiLevelType w:val="hybridMultilevel"/>
    <w:tmpl w:val="2BC0D86C"/>
    <w:lvl w:ilvl="0" w:tplc="09125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A46E4"/>
    <w:multiLevelType w:val="hybridMultilevel"/>
    <w:tmpl w:val="2EB8B5B6"/>
    <w:lvl w:ilvl="0" w:tplc="94809C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7B0A6F"/>
    <w:multiLevelType w:val="hybridMultilevel"/>
    <w:tmpl w:val="4FCE1142"/>
    <w:lvl w:ilvl="0" w:tplc="523E85BE">
      <w:start w:val="1"/>
      <w:numFmt w:val="decimal"/>
      <w:lvlText w:val="%1."/>
      <w:lvlJc w:val="left"/>
      <w:pPr>
        <w:ind w:left="2160" w:hanging="360"/>
      </w:pPr>
      <w:rPr>
        <w:rFonts w:ascii="Century" w:eastAsiaTheme="minorHAnsi" w:hAnsi="Century"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5EF192B"/>
    <w:multiLevelType w:val="hybridMultilevel"/>
    <w:tmpl w:val="767863A4"/>
    <w:lvl w:ilvl="0" w:tplc="26F025CC">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6E01A3"/>
    <w:multiLevelType w:val="hybridMultilevel"/>
    <w:tmpl w:val="31EA2622"/>
    <w:lvl w:ilvl="0" w:tplc="A3520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126391"/>
    <w:multiLevelType w:val="hybridMultilevel"/>
    <w:tmpl w:val="DA408046"/>
    <w:lvl w:ilvl="0" w:tplc="41FCE4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997CCA"/>
    <w:multiLevelType w:val="hybridMultilevel"/>
    <w:tmpl w:val="832A7498"/>
    <w:lvl w:ilvl="0" w:tplc="2C4481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9"/>
  </w:num>
  <w:num w:numId="3">
    <w:abstractNumId w:val="20"/>
  </w:num>
  <w:num w:numId="4">
    <w:abstractNumId w:val="25"/>
  </w:num>
  <w:num w:numId="5">
    <w:abstractNumId w:val="8"/>
  </w:num>
  <w:num w:numId="6">
    <w:abstractNumId w:val="0"/>
  </w:num>
  <w:num w:numId="7">
    <w:abstractNumId w:val="4"/>
  </w:num>
  <w:num w:numId="8">
    <w:abstractNumId w:val="1"/>
  </w:num>
  <w:num w:numId="9">
    <w:abstractNumId w:val="10"/>
  </w:num>
  <w:num w:numId="10">
    <w:abstractNumId w:val="24"/>
  </w:num>
  <w:num w:numId="11">
    <w:abstractNumId w:val="11"/>
  </w:num>
  <w:num w:numId="12">
    <w:abstractNumId w:val="13"/>
  </w:num>
  <w:num w:numId="13">
    <w:abstractNumId w:val="26"/>
  </w:num>
  <w:num w:numId="14">
    <w:abstractNumId w:val="21"/>
  </w:num>
  <w:num w:numId="15">
    <w:abstractNumId w:val="16"/>
  </w:num>
  <w:num w:numId="16">
    <w:abstractNumId w:val="23"/>
  </w:num>
  <w:num w:numId="17">
    <w:abstractNumId w:val="5"/>
  </w:num>
  <w:num w:numId="18">
    <w:abstractNumId w:val="18"/>
  </w:num>
  <w:num w:numId="19">
    <w:abstractNumId w:val="3"/>
  </w:num>
  <w:num w:numId="20">
    <w:abstractNumId w:val="14"/>
  </w:num>
  <w:num w:numId="21">
    <w:abstractNumId w:val="7"/>
  </w:num>
  <w:num w:numId="22">
    <w:abstractNumId w:val="17"/>
  </w:num>
  <w:num w:numId="23">
    <w:abstractNumId w:val="19"/>
  </w:num>
  <w:num w:numId="24">
    <w:abstractNumId w:val="6"/>
  </w:num>
  <w:num w:numId="25">
    <w:abstractNumId w:val="12"/>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35"/>
    <w:rsid w:val="000038F8"/>
    <w:rsid w:val="0009697E"/>
    <w:rsid w:val="000A0E2D"/>
    <w:rsid w:val="000C0A19"/>
    <w:rsid w:val="000E62A9"/>
    <w:rsid w:val="000F7A1A"/>
    <w:rsid w:val="001674C3"/>
    <w:rsid w:val="001A5697"/>
    <w:rsid w:val="001C5F38"/>
    <w:rsid w:val="001F565B"/>
    <w:rsid w:val="00235070"/>
    <w:rsid w:val="002B7050"/>
    <w:rsid w:val="003177A3"/>
    <w:rsid w:val="0034551B"/>
    <w:rsid w:val="0036142A"/>
    <w:rsid w:val="00380215"/>
    <w:rsid w:val="00385060"/>
    <w:rsid w:val="003B09AD"/>
    <w:rsid w:val="004977E8"/>
    <w:rsid w:val="004E7135"/>
    <w:rsid w:val="004F165B"/>
    <w:rsid w:val="004F171E"/>
    <w:rsid w:val="00531654"/>
    <w:rsid w:val="006321BC"/>
    <w:rsid w:val="00697E30"/>
    <w:rsid w:val="006E574B"/>
    <w:rsid w:val="00707A47"/>
    <w:rsid w:val="00782E6D"/>
    <w:rsid w:val="007F7F4C"/>
    <w:rsid w:val="008C4B34"/>
    <w:rsid w:val="00A41329"/>
    <w:rsid w:val="00A6639E"/>
    <w:rsid w:val="00AA7A34"/>
    <w:rsid w:val="00B43F2F"/>
    <w:rsid w:val="00BF6229"/>
    <w:rsid w:val="00C30C72"/>
    <w:rsid w:val="00C63712"/>
    <w:rsid w:val="00CC4118"/>
    <w:rsid w:val="00D224BB"/>
    <w:rsid w:val="00D30DD0"/>
    <w:rsid w:val="00D322F2"/>
    <w:rsid w:val="00D77BF1"/>
    <w:rsid w:val="00DA7675"/>
    <w:rsid w:val="00DA7B14"/>
    <w:rsid w:val="00DF4266"/>
    <w:rsid w:val="00E176F7"/>
    <w:rsid w:val="00E44028"/>
    <w:rsid w:val="00E75E47"/>
    <w:rsid w:val="00F6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C1F"/>
  <w15:chartTrackingRefBased/>
  <w15:docId w15:val="{A7B06F2F-3D17-4D14-A32E-2202CDE5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F1"/>
    <w:pPr>
      <w:ind w:left="720"/>
      <w:contextualSpacing/>
    </w:pPr>
  </w:style>
  <w:style w:type="paragraph" w:styleId="FootnoteText">
    <w:name w:val="footnote text"/>
    <w:basedOn w:val="Normal"/>
    <w:link w:val="FootnoteTextChar"/>
    <w:uiPriority w:val="99"/>
    <w:semiHidden/>
    <w:unhideWhenUsed/>
    <w:rsid w:val="00A41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329"/>
    <w:rPr>
      <w:sz w:val="20"/>
      <w:szCs w:val="20"/>
    </w:rPr>
  </w:style>
  <w:style w:type="character" w:styleId="FootnoteReference">
    <w:name w:val="footnote reference"/>
    <w:basedOn w:val="DefaultParagraphFont"/>
    <w:uiPriority w:val="99"/>
    <w:semiHidden/>
    <w:unhideWhenUsed/>
    <w:rsid w:val="00A41329"/>
    <w:rPr>
      <w:vertAlign w:val="superscript"/>
    </w:rPr>
  </w:style>
  <w:style w:type="character" w:styleId="Hyperlink">
    <w:name w:val="Hyperlink"/>
    <w:basedOn w:val="DefaultParagraphFont"/>
    <w:uiPriority w:val="99"/>
    <w:unhideWhenUsed/>
    <w:rsid w:val="00A41329"/>
    <w:rPr>
      <w:color w:val="0000FF"/>
      <w:u w:val="single"/>
    </w:rPr>
  </w:style>
  <w:style w:type="character" w:styleId="UnresolvedMention">
    <w:name w:val="Unresolved Mention"/>
    <w:basedOn w:val="DefaultParagraphFont"/>
    <w:uiPriority w:val="99"/>
    <w:semiHidden/>
    <w:unhideWhenUsed/>
    <w:rsid w:val="000A0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georgiaencyclopedia.org/articles/business-economy/boll-weevil?amp" TargetMode="External"/><Relationship Id="rId1" Type="http://schemas.openxmlformats.org/officeDocument/2006/relationships/hyperlink" Target="https://www.pbs.org/wnet/african-americans-many-rivers-to-cross/history/the-truth-behind-40-acres-and-a-m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28353-2FF1-4343-BF00-6AC7002F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Carter</dc:creator>
  <cp:keywords/>
  <dc:description/>
  <cp:lastModifiedBy>Karla Carter</cp:lastModifiedBy>
  <cp:revision>2</cp:revision>
  <dcterms:created xsi:type="dcterms:W3CDTF">2021-05-14T01:42:00Z</dcterms:created>
  <dcterms:modified xsi:type="dcterms:W3CDTF">2021-05-14T01:42:00Z</dcterms:modified>
</cp:coreProperties>
</file>